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Arial" w:hAnsi="Arial" w:cs="Arial"/>
          <w:b/>
          <w:b/>
          <w:bCs/>
          <w:color w:val="00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MODELO DE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 xml:space="preserve">Processo Administrativo n. </w:t>
      </w:r>
      <w:r>
        <w:rPr>
          <w:rStyle w:val="Nfaseforte"/>
          <w:rFonts w:cs="Arial" w:ascii="Arial" w:hAnsi="Arial"/>
          <w:b/>
          <w:bCs/>
          <w:i w:val="false"/>
          <w:iCs w:val="false"/>
          <w:color w:val="000000"/>
          <w:sz w:val="20"/>
          <w:szCs w:val="20"/>
        </w:rPr>
        <w:t>62032.004702/2023-47</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widowControl/>
        <w:numPr>
          <w:ilvl w:val="1"/>
          <w:numId w:val="2"/>
        </w:numPr>
        <w:suppressAutoHyphens w:val="true"/>
        <w:bidi w:val="0"/>
        <w:spacing w:lineRule="auto" w:line="276" w:before="0" w:after="0"/>
        <w:ind w:left="567" w:right="0" w:hanging="0"/>
        <w:contextualSpacing/>
        <w:jc w:val="both"/>
        <w:rPr/>
      </w:pPr>
      <w:r>
        <w:rPr>
          <w:rFonts w:cs="Arial" w:ascii="Arial" w:hAnsi="Arial"/>
          <w:iCs/>
          <w:sz w:val="20"/>
          <w:szCs w:val="20"/>
        </w:rPr>
        <w:t>Contrataç</w:t>
      </w:r>
      <w:r>
        <w:rPr>
          <w:rFonts w:eastAsia="Calibri" w:cs="Arial" w:ascii="Arial" w:hAnsi="Arial"/>
          <w:iCs/>
          <w:color w:val="00000A"/>
          <w:kern w:val="0"/>
          <w:sz w:val="20"/>
          <w:szCs w:val="20"/>
          <w:lang w:val="pt-BR" w:eastAsia="en-US" w:bidi="ar-SA"/>
        </w:rPr>
        <w:t>ão</w:t>
      </w:r>
      <w:r>
        <w:rPr>
          <w:rFonts w:cs="Arial" w:ascii="Arial" w:hAnsi="Arial"/>
          <w:iCs/>
          <w:sz w:val="20"/>
          <w:szCs w:val="20"/>
        </w:rPr>
        <w:t xml:space="preserve"> de empresa para prestaç</w:t>
      </w:r>
      <w:r>
        <w:rPr>
          <w:rFonts w:eastAsia="Calibri" w:cs="Arial" w:ascii="Arial" w:hAnsi="Arial"/>
          <w:iCs/>
          <w:color w:val="00000A"/>
          <w:kern w:val="0"/>
          <w:sz w:val="20"/>
          <w:szCs w:val="20"/>
          <w:lang w:val="pt-BR" w:eastAsia="en-US" w:bidi="ar-SA"/>
        </w:rPr>
        <w:t>ão de</w:t>
      </w:r>
      <w:r>
        <w:rPr>
          <w:rFonts w:cs="Arial" w:ascii="Arial" w:hAnsi="Arial"/>
          <w:iCs/>
          <w:color w:val="FF0000"/>
          <w:sz w:val="20"/>
          <w:szCs w:val="20"/>
        </w:rPr>
        <w:t xml:space="preserve"> </w:t>
      </w:r>
      <w:r>
        <w:rPr>
          <w:rFonts w:eastAsia="Calibri" w:cs="Arial" w:ascii="Arial" w:hAnsi="Arial"/>
          <w:iCs/>
          <w:color w:val="C9211E"/>
          <w:kern w:val="0"/>
          <w:sz w:val="20"/>
          <w:szCs w:val="20"/>
          <w:lang w:val="pt-BR" w:eastAsia="en-US" w:bidi="ar-SA"/>
        </w:rPr>
        <w:t>s</w:t>
      </w:r>
      <w:r>
        <w:rPr>
          <w:rFonts w:eastAsia="Calibri" w:cs="Arial" w:ascii="Arial" w:hAnsi="Arial"/>
          <w:iCs/>
          <w:color w:val="000000"/>
          <w:kern w:val="0"/>
          <w:sz w:val="20"/>
          <w:szCs w:val="20"/>
          <w:lang w:val="pt-BR" w:eastAsia="en-US" w:bidi="ar-SA"/>
        </w:rPr>
        <w:t>erviço de seguro de frota com assistência 24 horas do veículo Mitsubishi Triton L200 do Comando do 3° Distrito Naval</w:t>
      </w:r>
      <w:r>
        <w:rPr>
          <w:rFonts w:cs="Arial" w:ascii="Arial" w:hAnsi="Arial"/>
          <w:b/>
          <w:iCs/>
          <w:color w:val="000000"/>
          <w:sz w:val="20"/>
          <w:szCs w:val="20"/>
        </w:rPr>
        <w:t>,</w:t>
      </w:r>
      <w:r>
        <w:rPr>
          <w:rFonts w:cs="Arial" w:ascii="Arial" w:hAnsi="Arial"/>
          <w:iCs/>
          <w:sz w:val="20"/>
          <w:szCs w:val="20"/>
        </w:rPr>
        <w:t xml:space="preserve"> nos termos da tabela abaixo, conforme condições e exigências estabelecidas neste instrumento.</w:t>
      </w:r>
    </w:p>
    <w:p>
      <w:pPr>
        <w:pStyle w:val="ListParagraph"/>
        <w:spacing w:lineRule="auto" w:line="276" w:before="0" w:after="0"/>
        <w:contextualSpacing/>
        <w:jc w:val="both"/>
        <w:rPr>
          <w:rFonts w:ascii="Arial" w:hAnsi="Arial" w:cs="Arial"/>
          <w:iCs/>
          <w:sz w:val="20"/>
          <w:szCs w:val="20"/>
        </w:rPr>
      </w:pPr>
      <w:r>
        <w:rPr>
          <w:rFonts w:cs="Arial" w:ascii="Arial" w:hAnsi="Arial"/>
          <w:iCs/>
          <w:sz w:val="20"/>
          <w:szCs w:val="20"/>
        </w:rPr>
      </w:r>
    </w:p>
    <w:tbl>
      <w:tblPr>
        <w:tblW w:w="9498" w:type="dxa"/>
        <w:jc w:val="left"/>
        <w:tblInd w:w="-147" w:type="dxa"/>
        <w:tblLayout w:type="fixed"/>
        <w:tblCellMar>
          <w:top w:w="0" w:type="dxa"/>
          <w:left w:w="103" w:type="dxa"/>
          <w:bottom w:w="0" w:type="dxa"/>
          <w:right w:w="108" w:type="dxa"/>
        </w:tblCellMar>
        <w:tblLook w:firstRow="1" w:noVBand="1" w:lastRow="0" w:firstColumn="1" w:lastColumn="0" w:noHBand="0" w:val="04a0"/>
      </w:tblPr>
      <w:tblGrid>
        <w:gridCol w:w="501"/>
        <w:gridCol w:w="1807"/>
        <w:gridCol w:w="908"/>
        <w:gridCol w:w="802"/>
        <w:gridCol w:w="1387"/>
        <w:gridCol w:w="1385"/>
        <w:gridCol w:w="1384"/>
        <w:gridCol w:w="1322"/>
      </w:tblGrid>
      <w:tr>
        <w:trPr/>
        <w:tc>
          <w:tcPr>
            <w:tcW w:w="5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tc>
        <w:tc>
          <w:tcPr>
            <w:tcW w:w="180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ESPECIFICAÇÃO</w:t>
            </w:r>
          </w:p>
        </w:tc>
        <w:tc>
          <w:tcPr>
            <w:tcW w:w="90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CATMAT</w:t>
            </w:r>
          </w:p>
        </w:tc>
        <w:tc>
          <w:tcPr>
            <w:tcW w:w="80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UNIDADE DE MEDIDA</w:t>
            </w:r>
          </w:p>
        </w:tc>
        <w:tc>
          <w:tcPr>
            <w:tcW w:w="1387"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QUANTIDADE</w:t>
            </w:r>
          </w:p>
        </w:tc>
        <w:tc>
          <w:tcPr>
            <w:tcW w:w="1385" w:type="dxa"/>
            <w:tcBorders>
              <w:top w:val="single" w:sz="4" w:space="0" w:color="000001"/>
              <w:left w:val="single" w:sz="4" w:space="0" w:color="000001"/>
              <w:bottom w:val="single" w:sz="4" w:space="0" w:color="000001"/>
            </w:tcBorders>
            <w:shd w:color="auto" w:fill="auto" w:val="clear"/>
            <w:vAlign w:val="center"/>
          </w:tcPr>
          <w:p>
            <w:pPr>
              <w:pStyle w:val="Normal"/>
              <w:widowControl w:val="false"/>
              <w:tabs>
                <w:tab w:val="clear" w:pos="708"/>
              </w:tabs>
              <w:suppressAutoHyphens w:val="true"/>
              <w:spacing w:lineRule="auto" w:line="240" w:before="0" w:after="0"/>
              <w:ind w:left="-57" w:right="0" w:hanging="0"/>
              <w:jc w:val="center"/>
              <w:rPr>
                <w:rFonts w:cs="Arial"/>
                <w:b/>
                <w:b/>
                <w:bCs/>
                <w:color w:val="000000"/>
                <w:sz w:val="24"/>
              </w:rPr>
            </w:pPr>
            <w:r>
              <w:rPr>
                <w:rFonts w:eastAsia="Arial" w:cs="Arial" w:ascii="Carlito" w:hAnsi="Carlito"/>
                <w:b/>
                <w:bCs/>
                <w:color w:val="000000"/>
                <w:sz w:val="24"/>
                <w:szCs w:val="24"/>
              </w:rPr>
              <w:t>PREÇO ESTIMADO O POR ITEM</w:t>
            </w:r>
          </w:p>
        </w:tc>
        <w:tc>
          <w:tcPr>
            <w:tcW w:w="13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tabs>
                <w:tab w:val="clear" w:pos="708"/>
              </w:tabs>
              <w:suppressAutoHyphens w:val="true"/>
              <w:spacing w:lineRule="auto" w:line="240" w:before="0" w:after="0"/>
              <w:ind w:left="-57" w:right="0" w:hanging="0"/>
              <w:jc w:val="center"/>
              <w:rPr>
                <w:rFonts w:cs="Arial"/>
                <w:b/>
                <w:b/>
                <w:bCs/>
                <w:color w:val="000000"/>
                <w:sz w:val="24"/>
              </w:rPr>
            </w:pPr>
            <w:r>
              <w:rPr>
                <w:rFonts w:eastAsia="Arial" w:cs="Arial" w:ascii="Carlito" w:hAnsi="Carlito"/>
                <w:b/>
                <w:bCs/>
                <w:color w:val="000000"/>
                <w:sz w:val="24"/>
                <w:szCs w:val="24"/>
              </w:rPr>
              <w:t>PREÇO ESTIMADO TOTAL</w:t>
            </w:r>
          </w:p>
        </w:tc>
        <w:tc>
          <w:tcPr>
            <w:tcW w:w="132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pPr>
            <w:r>
              <w:rPr>
                <w:rFonts w:cs="Arial" w:ascii="Arial" w:hAnsi="Arial"/>
                <w:b/>
                <w:bCs/>
                <w:sz w:val="20"/>
                <w:szCs w:val="20"/>
              </w:rPr>
              <w:t>PRAZO DE EXECUÇ</w:t>
            </w:r>
            <w:r>
              <w:rPr>
                <w:rFonts w:eastAsia="Calibri" w:cs="Arial" w:ascii="Arial" w:hAnsi="Arial"/>
                <w:b/>
                <w:bCs/>
                <w:color w:val="00000A"/>
                <w:kern w:val="0"/>
                <w:sz w:val="20"/>
                <w:szCs w:val="20"/>
                <w:lang w:val="pt-BR" w:eastAsia="en-US" w:bidi="ar-SA"/>
              </w:rPr>
              <w:t>ÃO</w:t>
            </w:r>
          </w:p>
        </w:tc>
      </w:tr>
      <w:tr>
        <w:trPr/>
        <w:tc>
          <w:tcPr>
            <w:tcW w:w="5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color w:val="C9211E"/>
              </w:rPr>
            </w:pPr>
            <w:r>
              <w:rPr>
                <w:rFonts w:cs="Arial" w:ascii="Arial" w:hAnsi="Arial"/>
                <w:b/>
                <w:color w:val="C9211E"/>
                <w:sz w:val="20"/>
                <w:szCs w:val="20"/>
              </w:rPr>
              <w:t>1</w:t>
            </w:r>
          </w:p>
        </w:tc>
        <w:tc>
          <w:tcPr>
            <w:tcW w:w="18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true"/>
              <w:spacing w:lineRule="auto" w:line="276" w:before="0" w:after="120"/>
              <w:jc w:val="both"/>
              <w:rPr>
                <w:rFonts w:ascii="Arial" w:hAnsi="Arial" w:eastAsia="Arial" w:cs="Arial"/>
                <w:sz w:val="20"/>
                <w:szCs w:val="20"/>
              </w:rPr>
            </w:pPr>
            <w:r>
              <w:rPr>
                <w:rFonts w:eastAsia="Arial" w:cs="Arial" w:ascii="Arial" w:hAnsi="Arial"/>
                <w:color w:val="000000"/>
                <w:sz w:val="20"/>
                <w:szCs w:val="20"/>
              </w:rPr>
              <w:t>Seguro FROTA Mitsubishi Triton L200 SPO GL; Cabine dupla; Carroceria aberta; Cor: cinza; 190 CV; Diesel; Ano: 2022/2023.</w:t>
            </w:r>
          </w:p>
        </w:tc>
        <w:tc>
          <w:tcPr>
            <w:tcW w:w="90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tabs>
                <w:tab w:val="clear" w:pos="708"/>
              </w:tabs>
              <w:suppressAutoHyphens w:val="true"/>
              <w:spacing w:lineRule="auto" w:line="276" w:before="0" w:after="120"/>
              <w:jc w:val="center"/>
              <w:rPr>
                <w:rFonts w:ascii="Carlito" w:hAnsi="Carlito" w:eastAsia="Arial" w:cs="Arial"/>
                <w:sz w:val="24"/>
                <w:szCs w:val="24"/>
              </w:rPr>
            </w:pPr>
            <w:r>
              <w:rPr>
                <w:rFonts w:eastAsia="Arial" w:cs="Arial" w:ascii="Carlito" w:hAnsi="Carlito"/>
                <w:color w:val="000000"/>
                <w:sz w:val="24"/>
                <w:szCs w:val="24"/>
              </w:rPr>
              <w:t>13943</w:t>
            </w:r>
          </w:p>
        </w:tc>
        <w:tc>
          <w:tcPr>
            <w:tcW w:w="80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sz w:val="20"/>
                <w:szCs w:val="20"/>
              </w:rPr>
            </w:pPr>
            <w:r>
              <w:rPr>
                <w:rFonts w:cs="Arial" w:ascii="Arial" w:hAnsi="Arial"/>
                <w:color w:val="000000"/>
                <w:sz w:val="20"/>
                <w:szCs w:val="20"/>
              </w:rPr>
              <w:t>UN</w:t>
            </w:r>
          </w:p>
        </w:tc>
        <w:tc>
          <w:tcPr>
            <w:tcW w:w="1387"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sz w:val="20"/>
                <w:szCs w:val="20"/>
              </w:rPr>
            </w:pPr>
            <w:r>
              <w:rPr>
                <w:rFonts w:cs="Arial" w:ascii="Arial" w:hAnsi="Arial"/>
                <w:color w:val="000000"/>
                <w:sz w:val="20"/>
                <w:szCs w:val="20"/>
              </w:rPr>
              <w:t>1</w:t>
            </w:r>
          </w:p>
        </w:tc>
        <w:tc>
          <w:tcPr>
            <w:tcW w:w="1385"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spacing w:lineRule="auto" w:line="276" w:before="0" w:after="120"/>
              <w:jc w:val="center"/>
              <w:rPr>
                <w:rFonts w:ascii="Arial" w:hAnsi="Arial" w:eastAsia="Times New Roman" w:cs="Tahoma"/>
                <w:kern w:val="0"/>
                <w:sz w:val="20"/>
                <w:szCs w:val="20"/>
                <w:lang w:val="pt-BR" w:eastAsia="pt-BR" w:bidi="ar-SA"/>
              </w:rPr>
            </w:pPr>
            <w:r>
              <w:rPr>
                <w:rFonts w:eastAsia="Times New Roman" w:cs="Tahoma" w:ascii="Arial" w:hAnsi="Arial"/>
                <w:color w:val="000000"/>
                <w:kern w:val="0"/>
                <w:sz w:val="20"/>
                <w:szCs w:val="20"/>
                <w:lang w:val="pt-BR" w:eastAsia="pt-BR" w:bidi="ar-SA"/>
              </w:rPr>
              <w:t>R$ 3.131,63</w:t>
            </w:r>
          </w:p>
        </w:tc>
        <w:tc>
          <w:tcPr>
            <w:tcW w:w="13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120"/>
              <w:jc w:val="center"/>
              <w:rPr>
                <w:rFonts w:ascii="Arial" w:hAnsi="Arial" w:eastAsia="Times New Roman" w:cs="Tahoma"/>
                <w:kern w:val="0"/>
                <w:sz w:val="20"/>
                <w:szCs w:val="20"/>
                <w:lang w:val="pt-BR" w:eastAsia="pt-BR" w:bidi="ar-SA"/>
              </w:rPr>
            </w:pPr>
            <w:r>
              <w:rPr>
                <w:rFonts w:eastAsia="Times New Roman" w:cs="Tahoma" w:ascii="Arial" w:hAnsi="Arial"/>
                <w:color w:val="000000"/>
                <w:kern w:val="0"/>
                <w:sz w:val="20"/>
                <w:szCs w:val="20"/>
                <w:lang w:val="pt-BR" w:eastAsia="pt-BR" w:bidi="ar-SA"/>
              </w:rPr>
              <w:t>R$ 3.131,63</w:t>
            </w:r>
          </w:p>
        </w:tc>
        <w:tc>
          <w:tcPr>
            <w:tcW w:w="132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0"/>
              <w:jc w:val="center"/>
              <w:rPr>
                <w:rFonts w:ascii="Arial" w:hAnsi="Arial" w:cs="Arial"/>
                <w:sz w:val="20"/>
                <w:szCs w:val="20"/>
              </w:rPr>
            </w:pPr>
            <w:r>
              <w:rPr>
                <w:rFonts w:cs="Arial" w:ascii="Arial" w:hAnsi="Arial"/>
                <w:color w:val="000000"/>
                <w:sz w:val="20"/>
                <w:szCs w:val="20"/>
              </w:rPr>
              <w:t>IMEDIATO</w:t>
            </w:r>
          </w:p>
        </w:tc>
      </w:tr>
    </w:tbl>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p>
      <w:pPr>
        <w:pStyle w:val="ListParagraph"/>
        <w:numPr>
          <w:ilvl w:val="1"/>
          <w:numId w:val="2"/>
        </w:numPr>
        <w:tabs>
          <w:tab w:val="clear" w:pos="708"/>
          <w:tab w:val="left" w:pos="1020" w:leader="none"/>
        </w:tabs>
        <w:spacing w:lineRule="auto" w:line="276" w:before="0" w:after="0"/>
        <w:contextualSpacing/>
        <w:jc w:val="both"/>
        <w:rPr>
          <w:rFonts w:ascii="Arial" w:hAnsi="Arial" w:cs="Arial"/>
          <w:iCs/>
          <w:sz w:val="20"/>
          <w:szCs w:val="20"/>
        </w:rPr>
      </w:pPr>
      <w:r>
        <w:rPr>
          <w:rFonts w:cs="Arial" w:ascii="Arial" w:hAnsi="Arial"/>
          <w:iCs/>
          <w:sz w:val="20"/>
          <w:szCs w:val="20"/>
        </w:rPr>
        <w:t xml:space="preserve">O objeto desta contratação não se enquadra como sendo de bem de luxo, conforme Decreto nº 10.818, de 2021. </w:t>
      </w:r>
    </w:p>
    <w:p>
      <w:pPr>
        <w:pStyle w:val="ListParagraph"/>
        <w:numPr>
          <w:ilvl w:val="1"/>
          <w:numId w:val="2"/>
        </w:numPr>
        <w:spacing w:lineRule="auto" w:line="276" w:before="0" w:after="0"/>
        <w:contextualSpacing/>
        <w:jc w:val="both"/>
        <w:rPr>
          <w:color w:val="000000"/>
        </w:rPr>
      </w:pPr>
      <w:r>
        <w:rPr>
          <w:rFonts w:cs="Arial" w:ascii="Arial" w:hAnsi="Arial"/>
          <w:bCs/>
          <w:color w:val="000000"/>
          <w:sz w:val="20"/>
          <w:szCs w:val="20"/>
        </w:rPr>
        <w:t>O prazo de vigência da contratação é de 12 (doze) meses contados da entrega da nota de empenho, na forma do artigo 105 da Lei n° 14.133/2021.</w:t>
      </w:r>
    </w:p>
    <w:p>
      <w:pPr>
        <w:pStyle w:val="ListParagraph"/>
        <w:spacing w:lineRule="auto" w:line="276" w:before="0" w:after="0"/>
        <w:ind w:left="432" w:hanging="0"/>
        <w:contextualSpacing/>
        <w:jc w:val="both"/>
        <w:rPr>
          <w:rFonts w:ascii="Arial" w:hAnsi="Arial" w:cs="Arial"/>
          <w:bCs/>
          <w:i/>
          <w:i/>
          <w:iCs/>
          <w:color w:val="FF0000"/>
          <w:sz w:val="20"/>
          <w:szCs w:val="20"/>
        </w:rPr>
      </w:pPr>
      <w:r>
        <w:rPr>
          <w:rFonts w:cs="Arial" w:ascii="Arial" w:hAnsi="Arial"/>
          <w:bCs/>
          <w:i/>
          <w:iCs/>
          <w:color w:val="FF0000"/>
          <w:sz w:val="20"/>
          <w:szCs w:val="20"/>
        </w:rPr>
      </w:r>
    </w:p>
    <w:p>
      <w:pPr>
        <w:pStyle w:val="ListParagraph"/>
        <w:numPr>
          <w:ilvl w:val="1"/>
          <w:numId w:val="2"/>
        </w:numPr>
        <w:tabs>
          <w:tab w:val="clear" w:pos="708"/>
          <w:tab w:val="left" w:pos="1020" w:leader="none"/>
        </w:tabs>
        <w:spacing w:lineRule="auto" w:line="276" w:before="0" w:after="0"/>
        <w:contextualSpacing/>
        <w:jc w:val="both"/>
        <w:rPr>
          <w:i w:val="false"/>
          <w:i w:val="false"/>
          <w:iCs w:val="false"/>
        </w:rPr>
      </w:pPr>
      <w:r>
        <w:rPr>
          <w:rFonts w:cs="Arial" w:ascii="Arial" w:hAnsi="Arial"/>
          <w:i w:val="false"/>
          <w:iCs w:val="false"/>
          <w:sz w:val="20"/>
          <w:szCs w:val="20"/>
        </w:rPr>
        <w:t xml:space="preserve">O custo estimado total da contratação </w:t>
      </w:r>
      <w:r>
        <w:rPr>
          <w:rFonts w:eastAsia="Times New Roman" w:cs="Tahoma" w:ascii="Arial" w:hAnsi="Arial"/>
          <w:i w:val="false"/>
          <w:iCs w:val="false"/>
          <w:color w:val="000000"/>
          <w:kern w:val="0"/>
          <w:sz w:val="20"/>
          <w:szCs w:val="20"/>
          <w:lang w:val="pt-BR" w:eastAsia="pt-BR" w:bidi="ar-SA"/>
        </w:rPr>
        <w:t>R$ 3.131,63 (Três mil e cento e trinta e um e sessenta e três centavos)</w:t>
      </w:r>
      <w:r>
        <w:rPr>
          <w:rFonts w:eastAsia="Times New Roman" w:cs="Tahoma" w:ascii="Arial" w:hAnsi="Arial"/>
          <w:i w:val="false"/>
          <w:iCs w:val="false"/>
          <w:color w:val="ED1C24"/>
          <w:kern w:val="0"/>
          <w:sz w:val="20"/>
          <w:szCs w:val="20"/>
          <w:lang w:val="pt-BR" w:eastAsia="pt-BR" w:bidi="ar-SA"/>
        </w:rPr>
        <w:t>.</w:t>
      </w:r>
    </w:p>
    <w:p>
      <w:pPr>
        <w:pStyle w:val="Normal"/>
        <w:spacing w:lineRule="auto" w:line="276" w:before="0" w:after="0"/>
        <w:jc w:val="both"/>
        <w:rPr>
          <w:rFonts w:cs="Arial"/>
          <w:szCs w:val="20"/>
        </w:rPr>
      </w:pPr>
      <w:r>
        <w:rPr>
          <w:rFonts w:cs="Arial"/>
          <w:szCs w:val="20"/>
        </w:rPr>
      </w:r>
    </w:p>
    <w:p>
      <w:pPr>
        <w:pStyle w:val="Nivel1"/>
        <w:numPr>
          <w:ilvl w:val="0"/>
          <w:numId w:val="1"/>
        </w:numPr>
        <w:spacing w:before="0" w:after="0"/>
        <w:rPr>
          <w:rFonts w:ascii="Arial" w:hAnsi="Arial"/>
          <w:sz w:val="20"/>
          <w:szCs w:val="20"/>
        </w:rPr>
      </w:pPr>
      <w:r>
        <w:rPr>
          <w:bCs/>
          <w:sz w:val="20"/>
          <w:szCs w:val="20"/>
        </w:rPr>
        <w:t xml:space="preserve">FUNDAMENTAÇÃO E DESCRIÇÃO DA NECESSIDADE DA CONTRATAÇÃO (art. 6º, inciso XXIII, alínea ‘b’, da Lei nº 14.133/2021). </w:t>
      </w:r>
    </w:p>
    <w:p>
      <w:pPr>
        <w:pStyle w:val="Nivel1"/>
        <w:spacing w:before="0" w:after="0"/>
        <w:ind w:left="360" w:hanging="0"/>
        <w:rPr/>
      </w:pPr>
      <w:r>
        <w:rPr>
          <w:bCs/>
          <w:sz w:val="20"/>
          <w:szCs w:val="20"/>
        </w:rPr>
        <w:t>2.1.</w:t>
        <w:tab/>
      </w:r>
      <w:r>
        <w:rPr>
          <w:rStyle w:val="Fontepargpadro"/>
          <w:b w:val="false"/>
          <w:bCs w:val="false"/>
          <w:strike w:val="false"/>
          <w:dstrike w:val="false"/>
          <w:color w:val="5EB91E"/>
          <w:sz w:val="20"/>
          <w:szCs w:val="20"/>
          <w:shd w:fill="auto" w:val="clear"/>
        </w:rPr>
        <w:t xml:space="preserve"> </w:t>
      </w:r>
      <w:r>
        <w:rPr>
          <w:rStyle w:val="Fontepargpadro"/>
          <w:b w:val="false"/>
          <w:bCs w:val="false"/>
          <w:strike w:val="false"/>
          <w:dstrike w:val="false"/>
          <w:color w:val="000000"/>
          <w:sz w:val="20"/>
          <w:szCs w:val="20"/>
          <w:shd w:fill="auto" w:val="clear"/>
        </w:rPr>
        <w:t>O seguro de frotas é uma forma de diminuir as preocupações do Comando do 3° Distrito Naval com relação à integridade dos seus veículos. Al</w:t>
      </w:r>
      <w:r>
        <w:rPr>
          <w:rStyle w:val="Fontepargpadro"/>
          <w:rFonts w:eastAsia="" w:cs="Arial"/>
          <w:b w:val="false"/>
          <w:bCs w:val="false"/>
          <w:strike w:val="false"/>
          <w:dstrike w:val="false"/>
          <w:color w:val="000000"/>
          <w:kern w:val="0"/>
          <w:sz w:val="20"/>
          <w:szCs w:val="20"/>
          <w:shd w:fill="auto" w:val="clear"/>
          <w:lang w:val="pt-BR" w:eastAsia="en-US" w:bidi="ar-SA"/>
        </w:rPr>
        <w:t xml:space="preserve">ém disso, trata-se de uma necessidade pertinente quanto ao uso de veículos automotores, pois dirime eventuais despesas não previstas em casos de acidentes e promove comodidade na resolução de situações como essas. </w:t>
      </w:r>
    </w:p>
    <w:p>
      <w:pPr>
        <w:pStyle w:val="ListParagraph"/>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rFonts w:ascii="Arial" w:hAnsi="Arial"/>
          <w:sz w:val="20"/>
          <w:szCs w:val="20"/>
        </w:rPr>
      </w:pPr>
      <w:r>
        <w:rPr>
          <w:bCs/>
          <w:sz w:val="20"/>
          <w:szCs w:val="20"/>
        </w:rPr>
        <w:t>DESCRIÇÃO DA SOLUÇÃO COMO UM TODO CONSIDERADO O CICLO DE VIDA DO OBJETO E ESPECIFICAÇÃO DO PRODUTO (art. 6º, inciso XXIII, alínea ‘c’, e art. 40, §1º, inciso I, da Lei nº 14.133/2021)</w:t>
      </w:r>
    </w:p>
    <w:p>
      <w:pPr>
        <w:pStyle w:val="Nivel1"/>
        <w:spacing w:before="0" w:after="0"/>
        <w:ind w:left="360" w:hanging="0"/>
        <w:rPr/>
      </w:pPr>
      <w:r>
        <w:rPr>
          <w:bCs/>
          <w:i/>
          <w:iCs/>
          <w:sz w:val="20"/>
          <w:szCs w:val="20"/>
        </w:rPr>
        <w:t>3.1</w:t>
      </w:r>
      <w:r>
        <w:rPr>
          <w:b w:val="false"/>
          <w:bCs w:val="false"/>
          <w:i w:val="false"/>
          <w:iCs w:val="false"/>
          <w:sz w:val="20"/>
          <w:szCs w:val="20"/>
        </w:rPr>
        <w:t>.</w:t>
      </w:r>
      <w:r>
        <w:rPr>
          <w:b w:val="false"/>
          <w:bCs w:val="false"/>
          <w:i w:val="false"/>
          <w:iCs w:val="false"/>
          <w:color w:val="ED1C24"/>
          <w:sz w:val="20"/>
          <w:szCs w:val="20"/>
          <w:shd w:fill="auto" w:val="clear"/>
        </w:rPr>
        <w:t xml:space="preserve"> </w:t>
      </w:r>
      <w:r>
        <w:rPr>
          <w:b w:val="false"/>
          <w:bCs w:val="false"/>
          <w:i w:val="false"/>
          <w:iCs w:val="false"/>
          <w:color w:val="000000"/>
          <w:sz w:val="20"/>
          <w:szCs w:val="20"/>
          <w:shd w:fill="auto" w:val="clear"/>
        </w:rPr>
        <w:t>Gar</w:t>
      </w:r>
      <w:r>
        <w:rPr>
          <w:rStyle w:val="Fontepargpadro"/>
          <w:b w:val="false"/>
          <w:bCs w:val="false"/>
          <w:i w:val="false"/>
          <w:iCs w:val="false"/>
          <w:strike w:val="false"/>
          <w:dstrike w:val="false"/>
          <w:color w:val="000000"/>
          <w:sz w:val="20"/>
          <w:szCs w:val="20"/>
          <w:shd w:fill="auto" w:val="clear"/>
        </w:rPr>
        <w:t>antia de cobertura quanto: suporte ao ve</w:t>
      </w:r>
      <w:r>
        <w:rPr>
          <w:rStyle w:val="Fontepargpadro"/>
          <w:rFonts w:eastAsia="" w:cs="Arial"/>
          <w:b w:val="false"/>
          <w:bCs w:val="false"/>
          <w:i w:val="false"/>
          <w:iCs w:val="false"/>
          <w:strike w:val="false"/>
          <w:dstrike w:val="false"/>
          <w:color w:val="000000"/>
          <w:kern w:val="0"/>
          <w:sz w:val="20"/>
          <w:szCs w:val="20"/>
          <w:shd w:fill="auto" w:val="clear"/>
          <w:lang w:val="pt-BR" w:eastAsia="en-US" w:bidi="ar-SA"/>
        </w:rPr>
        <w:t xml:space="preserve">ículo </w:t>
      </w:r>
      <w:r>
        <w:rPr>
          <w:rStyle w:val="Fontepargpadro"/>
          <w:b w:val="false"/>
          <w:bCs w:val="false"/>
          <w:i w:val="false"/>
          <w:iCs w:val="false"/>
          <w:strike w:val="false"/>
          <w:dstrike w:val="false"/>
          <w:color w:val="000000"/>
          <w:sz w:val="20"/>
          <w:szCs w:val="20"/>
          <w:shd w:fill="auto" w:val="clear"/>
        </w:rPr>
        <w:t>em caso de batidas, roubos e furtos e suas tentativas; Eventuais inc</w:t>
      </w:r>
      <w:r>
        <w:rPr>
          <w:rStyle w:val="Fontepargpadro"/>
          <w:rFonts w:eastAsia="" w:cs="Arial"/>
          <w:b w:val="false"/>
          <w:bCs w:val="false"/>
          <w:i w:val="false"/>
          <w:iCs w:val="false"/>
          <w:strike w:val="false"/>
          <w:dstrike w:val="false"/>
          <w:color w:val="000000"/>
          <w:kern w:val="0"/>
          <w:sz w:val="20"/>
          <w:szCs w:val="20"/>
          <w:shd w:fill="auto" w:val="clear"/>
          <w:lang w:val="pt-BR" w:eastAsia="en-US" w:bidi="ar-SA"/>
        </w:rPr>
        <w:t>êndios ou explosões, inclusive os causados por atos danosos praticados de forma isolada ou eventual por terceiros (de qualquer causa); Queda em precipícios ou pontes; Garantia adicional de vidros; Danos causados durante o tempo em que, como consequência de roubo ou furto, estiver em poder de terceiros; Assistência 24h (vinte e quatro) horas, incluindo reboque.</w:t>
      </w:r>
    </w:p>
    <w:p>
      <w:pPr>
        <w:pStyle w:val="ListParagraph"/>
        <w:spacing w:lineRule="auto" w:line="276" w:before="0" w:after="0"/>
        <w:ind w:left="1152" w:hanging="0"/>
        <w:contextualSpacing/>
        <w:jc w:val="both"/>
        <w:rPr/>
      </w:pPr>
      <w:r>
        <w:rPr/>
      </w:r>
    </w:p>
    <w:p>
      <w:pPr>
        <w:pStyle w:val="Nivel1"/>
        <w:numPr>
          <w:ilvl w:val="0"/>
          <w:numId w:val="1"/>
        </w:numPr>
        <w:spacing w:before="0" w:after="0"/>
        <w:rPr>
          <w:bCs/>
          <w:sz w:val="20"/>
          <w:szCs w:val="20"/>
        </w:rPr>
      </w:pPr>
      <w:r>
        <w:rPr>
          <w:bCs/>
          <w:sz w:val="20"/>
          <w:szCs w:val="20"/>
        </w:rPr>
        <w:t>REQUISITOS DA CONTRATAÇÃO (art. 6º, XXIII, alínea ‘d’, da Lei nº 14.133/21)</w:t>
      </w:r>
    </w:p>
    <w:p>
      <w:pPr>
        <w:pStyle w:val="Normal"/>
        <w:numPr>
          <w:ilvl w:val="0"/>
          <w:numId w:val="0"/>
        </w:numPr>
        <w:shd w:val="clear" w:color="auto" w:fill="FFFFFF"/>
        <w:spacing w:lineRule="auto" w:line="276" w:before="0" w:after="0"/>
        <w:ind w:left="2835" w:hanging="0"/>
        <w:contextualSpacing/>
        <w:jc w:val="both"/>
        <w:rPr>
          <w:rFonts w:ascii="Arial" w:hAnsi="Arial" w:eastAsia="MyriadPro-Regular" w:cs="Arial"/>
          <w:bCs/>
          <w:i w:val="false"/>
          <w:i w:val="false"/>
          <w:iCs w:val="false"/>
          <w:color w:val="7DA7D8"/>
          <w:sz w:val="20"/>
          <w:szCs w:val="20"/>
          <w:shd w:fill="FFFF00" w:val="clear"/>
        </w:rPr>
      </w:pPr>
      <w:r>
        <w:rPr>
          <w:rFonts w:eastAsia="MyriadPro-Regular" w:cs="Arial" w:ascii="Arial" w:hAnsi="Arial"/>
          <w:bCs/>
          <w:i w:val="false"/>
          <w:iCs w:val="false"/>
          <w:color w:val="7DA7D8"/>
          <w:sz w:val="20"/>
          <w:szCs w:val="20"/>
          <w:shd w:fill="FFFF00" w:val="clear"/>
        </w:rPr>
      </w:r>
    </w:p>
    <w:p>
      <w:pPr>
        <w:pStyle w:val="ListParagraph"/>
        <w:spacing w:lineRule="auto" w:line="276" w:before="0" w:after="0"/>
        <w:ind w:left="432" w:hanging="0"/>
        <w:contextualSpacing/>
        <w:jc w:val="both"/>
        <w:rPr>
          <w:color w:val="000000"/>
        </w:rPr>
      </w:pPr>
      <w:r>
        <w:rPr>
          <w:rFonts w:cs="Arial" w:ascii="Arial" w:hAnsi="Arial"/>
          <w:b/>
          <w:bCs/>
          <w:color w:val="000000"/>
          <w:sz w:val="20"/>
          <w:szCs w:val="20"/>
        </w:rPr>
        <w:t>4.1</w:t>
      </w:r>
      <w:r>
        <w:rPr>
          <w:rFonts w:cs="Arial" w:ascii="Arial" w:hAnsi="Arial"/>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4.3.1. pequeno valor</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43.2. pagamento ocorrer apenas após a liquidação da despesa.</w:t>
      </w:r>
    </w:p>
    <w:p>
      <w:pPr>
        <w:pStyle w:val="Normal"/>
        <w:ind w:left="360" w:hanging="0"/>
        <w:rPr/>
      </w:pPr>
      <w:r>
        <w:rPr/>
      </w:r>
    </w:p>
    <w:p>
      <w:pPr>
        <w:pStyle w:val="Nivel1"/>
        <w:numPr>
          <w:ilvl w:val="0"/>
          <w:numId w:val="1"/>
        </w:numPr>
        <w:spacing w:before="0" w:after="0"/>
        <w:rPr>
          <w:b/>
          <w:b/>
          <w:bCs/>
        </w:rPr>
      </w:pPr>
      <w:r>
        <w:rPr>
          <w:sz w:val="20"/>
          <w:szCs w:val="20"/>
        </w:rPr>
        <w:t>MODELO DE EXECUÇÃO CONTRATUAL (arts. 6º, XXIII, alínea “e” e 40, §1º, inciso II, da Lei nº 14.133/2021).</w:t>
      </w:r>
    </w:p>
    <w:p>
      <w:pPr>
        <w:pStyle w:val="Normal"/>
        <w:spacing w:before="0" w:after="0"/>
        <w:ind w:left="360" w:hanging="0"/>
        <w:rPr>
          <w:rFonts w:cs="Arial"/>
          <w:b/>
          <w:b/>
          <w:bCs/>
          <w:sz w:val="20"/>
          <w:szCs w:val="20"/>
        </w:rPr>
      </w:pPr>
      <w:r>
        <w:rPr>
          <w:rFonts w:cs="Arial"/>
          <w:b/>
          <w:bCs/>
          <w:sz w:val="20"/>
          <w:szCs w:val="20"/>
        </w:rPr>
      </w:r>
    </w:p>
    <w:p>
      <w:pPr>
        <w:pStyle w:val="LONormal"/>
        <w:widowControl/>
        <w:numPr>
          <w:ilvl w:val="1"/>
          <w:numId w:val="3"/>
        </w:numPr>
        <w:tabs>
          <w:tab w:val="center" w:pos="1138" w:leader="none"/>
          <w:tab w:val="center" w:pos="4760" w:leader="none"/>
        </w:tabs>
        <w:suppressAutoHyphens w:val="true"/>
        <w:bidi w:val="0"/>
        <w:spacing w:lineRule="auto" w:line="276" w:before="0" w:after="57"/>
        <w:ind w:left="454" w:right="0" w:hanging="0"/>
        <w:jc w:val="both"/>
        <w:rPr/>
      </w:pPr>
      <w:r>
        <w:rPr>
          <w:rFonts w:ascii="Arial" w:hAnsi="Arial"/>
          <w:color w:val="C9211E"/>
          <w:sz w:val="20"/>
          <w:szCs w:val="20"/>
          <w:lang w:val="pt-BR"/>
        </w:rPr>
        <w:t xml:space="preserve"> </w:t>
      </w:r>
      <w:r>
        <w:rPr>
          <w:rFonts w:ascii="Arial" w:hAnsi="Arial"/>
          <w:color w:val="000000"/>
          <w:sz w:val="20"/>
          <w:szCs w:val="20"/>
          <w:lang w:val="pt-BR"/>
        </w:rPr>
        <w:t xml:space="preserve">O prazo de início da prestação do serviço </w:t>
      </w:r>
      <w:r>
        <w:rPr>
          <w:rFonts w:ascii="Arial" w:hAnsi="Arial"/>
          <w:color w:val="000000"/>
          <w:sz w:val="20"/>
          <w:szCs w:val="20"/>
          <w:lang w:val="pt-BR"/>
        </w:rPr>
        <w:t>e imediato.</w:t>
      </w:r>
    </w:p>
    <w:p>
      <w:pPr>
        <w:pStyle w:val="Nivel2"/>
        <w:widowControl/>
        <w:suppressAutoHyphens w:val="true"/>
        <w:bidi w:val="0"/>
        <w:spacing w:lineRule="auto" w:line="276" w:before="0" w:after="0"/>
        <w:ind w:left="454" w:right="0" w:hanging="0"/>
        <w:jc w:val="both"/>
        <w:rPr>
          <w:color w:val="000000"/>
        </w:rPr>
      </w:pPr>
      <w:r>
        <w:rPr>
          <w:b/>
          <w:bCs/>
          <w:color w:val="000000"/>
          <w:sz w:val="20"/>
          <w:szCs w:val="20"/>
        </w:rPr>
        <w:t xml:space="preserve">5.2. </w:t>
      </w:r>
      <w:r>
        <w:rPr>
          <w:bCs/>
          <w:color w:val="000000"/>
          <w:sz w:val="20"/>
          <w:szCs w:val="20"/>
        </w:rPr>
        <w:t>O serviço ser</w:t>
      </w:r>
      <w:r>
        <w:rPr>
          <w:rFonts w:eastAsia="Calibri" w:cs="Arial"/>
          <w:bCs/>
          <w:color w:val="000000"/>
          <w:kern w:val="0"/>
          <w:sz w:val="20"/>
          <w:szCs w:val="20"/>
          <w:lang w:val="pt-BR" w:eastAsia="en-US" w:bidi="ar-SA"/>
        </w:rPr>
        <w:t>á prestado</w:t>
      </w:r>
      <w:r>
        <w:rPr>
          <w:bCs/>
          <w:color w:val="000000"/>
          <w:sz w:val="20"/>
          <w:szCs w:val="20"/>
        </w:rPr>
        <w:t xml:space="preserve"> no seguinte endereço: Rua Coronel Flam</w:t>
      </w:r>
      <w:r>
        <w:rPr>
          <w:rFonts w:eastAsia="Calibri" w:cs="Arial"/>
          <w:bCs/>
          <w:color w:val="000000"/>
          <w:kern w:val="0"/>
          <w:sz w:val="20"/>
          <w:szCs w:val="20"/>
          <w:lang w:val="pt-BR" w:eastAsia="en-US" w:bidi="ar-SA"/>
        </w:rPr>
        <w:t>ínio</w:t>
      </w:r>
      <w:r>
        <w:rPr>
          <w:bCs/>
          <w:color w:val="000000"/>
          <w:sz w:val="20"/>
          <w:szCs w:val="20"/>
        </w:rPr>
        <w:t>, n° 100, Santos Reis, CEP: 59.010-500, Natal/RN, de segunda a sexta-feira, das 08:00 às 15:00,</w:t>
      </w:r>
      <w:r>
        <w:rPr>
          <w:bCs/>
          <w:i/>
          <w:iCs/>
          <w:color w:val="000000"/>
          <w:sz w:val="20"/>
          <w:szCs w:val="20"/>
        </w:rPr>
        <w:t xml:space="preserve"> </w:t>
      </w:r>
      <w:r>
        <w:rPr>
          <w:bCs/>
          <w:i w:val="false"/>
          <w:iCs w:val="false"/>
          <w:color w:val="000000"/>
          <w:sz w:val="20"/>
          <w:szCs w:val="20"/>
        </w:rPr>
        <w:t>na Divisão de Manutenç</w:t>
      </w:r>
      <w:r>
        <w:rPr>
          <w:rFonts w:eastAsia="Calibri" w:cs="Arial"/>
          <w:bCs/>
          <w:i w:val="false"/>
          <w:iCs w:val="false"/>
          <w:color w:val="000000"/>
          <w:kern w:val="0"/>
          <w:sz w:val="20"/>
          <w:szCs w:val="20"/>
          <w:lang w:val="pt-BR" w:eastAsia="en-US" w:bidi="ar-SA"/>
        </w:rPr>
        <w:t>ão</w:t>
      </w:r>
      <w:r>
        <w:rPr>
          <w:bCs/>
          <w:i w:val="false"/>
          <w:iCs w:val="false"/>
          <w:color w:val="000000"/>
          <w:sz w:val="20"/>
          <w:szCs w:val="20"/>
        </w:rPr>
        <w:t>.</w:t>
      </w:r>
    </w:p>
    <w:p>
      <w:pPr>
        <w:pStyle w:val="Nivel1"/>
        <w:spacing w:before="0" w:after="0"/>
        <w:ind w:left="360" w:hanging="360"/>
        <w:rPr>
          <w:color w:val="FF0000"/>
          <w:sz w:val="20"/>
          <w:szCs w:val="20"/>
        </w:rPr>
      </w:pPr>
      <w:r>
        <w:rPr>
          <w:color w:val="FF0000"/>
          <w:sz w:val="20"/>
          <w:szCs w:val="20"/>
        </w:rPr>
      </w:r>
    </w:p>
    <w:p>
      <w:pPr>
        <w:pStyle w:val="Nivel1"/>
        <w:numPr>
          <w:ilvl w:val="0"/>
          <w:numId w:val="1"/>
        </w:numPr>
        <w:spacing w:before="0" w:after="0"/>
        <w:rPr>
          <w:sz w:val="20"/>
          <w:szCs w:val="2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widowControl/>
        <w:suppressAutoHyphens w:val="true"/>
        <w:bidi w:val="0"/>
        <w:spacing w:lineRule="auto" w:line="276" w:before="0" w:after="0"/>
        <w:ind w:left="454" w:right="0" w:hanging="0"/>
        <w:jc w:val="both"/>
        <w:rPr>
          <w:color w:val="00000A"/>
          <w:sz w:val="20"/>
          <w:szCs w:val="20"/>
        </w:rPr>
      </w:pPr>
      <w:r>
        <w:rPr>
          <w:b/>
          <w:bCs/>
          <w:color w:val="00000A"/>
          <w:sz w:val="20"/>
          <w:szCs w:val="20"/>
        </w:rPr>
        <w:t>6.1.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widowControl/>
        <w:suppressAutoHyphens w:val="true"/>
        <w:bidi w:val="0"/>
        <w:spacing w:lineRule="auto" w:line="276" w:before="0" w:after="0"/>
        <w:ind w:left="454" w:right="0" w:hanging="0"/>
        <w:jc w:val="both"/>
        <w:rPr>
          <w:color w:val="00000A"/>
          <w:sz w:val="20"/>
          <w:szCs w:val="20"/>
        </w:rPr>
      </w:pPr>
      <w:bookmarkStart w:id="0" w:name="art115§5"/>
      <w:bookmarkStart w:id="1" w:name="art115§1"/>
      <w:bookmarkEnd w:id="0"/>
      <w:bookmarkEnd w:id="1"/>
      <w:r>
        <w:rPr>
          <w:b/>
          <w:bCs/>
          <w:color w:val="00000A"/>
          <w:sz w:val="20"/>
          <w:szCs w:val="20"/>
        </w:rPr>
        <w:t>6.2.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widowControl/>
        <w:suppressAutoHyphens w:val="true"/>
        <w:bidi w:val="0"/>
        <w:spacing w:lineRule="auto" w:line="276" w:before="0" w:after="0"/>
        <w:ind w:left="454" w:right="0" w:hanging="0"/>
        <w:jc w:val="both"/>
        <w:rPr/>
      </w:pPr>
      <w:bookmarkStart w:id="2" w:name="art116"/>
      <w:bookmarkEnd w:id="2"/>
      <w:r>
        <w:rPr>
          <w:b/>
          <w:bCs/>
          <w:color w:val="00000A"/>
          <w:sz w:val="20"/>
          <w:szCs w:val="20"/>
        </w:rPr>
        <w:t>6.3.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3" w:name="art117§1"/>
      <w:bookmarkEnd w:id="3"/>
      <w:r>
        <w:rPr>
          <w:color w:val="00000A"/>
          <w:sz w:val="20"/>
          <w:szCs w:val="20"/>
        </w:rPr>
        <w:t>).</w:t>
      </w:r>
    </w:p>
    <w:p>
      <w:pPr>
        <w:pStyle w:val="Nivel3"/>
        <w:spacing w:before="0" w:after="0"/>
        <w:ind w:left="1355" w:hanging="0"/>
        <w:contextualSpacing/>
        <w:rPr/>
      </w:pPr>
      <w:r>
        <w:rPr>
          <w:b/>
          <w:bCs/>
        </w:rPr>
        <w:t>6.3.1.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spacing w:before="0" w:after="0"/>
        <w:ind w:left="1355" w:hanging="0"/>
        <w:contextualSpacing/>
        <w:rPr/>
      </w:pPr>
      <w:bookmarkStart w:id="4" w:name="art117§2"/>
      <w:bookmarkEnd w:id="4"/>
      <w:r>
        <w:rPr>
          <w:b/>
          <w:bCs/>
        </w:rPr>
        <w:t>6.3.2.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spacing w:before="0" w:after="0"/>
        <w:ind w:left="432" w:hanging="0"/>
        <w:rPr>
          <w:color w:val="00000A"/>
          <w:sz w:val="20"/>
          <w:szCs w:val="20"/>
        </w:rPr>
      </w:pPr>
      <w:r>
        <w:rPr>
          <w:b/>
          <w:bCs/>
          <w:color w:val="00000A"/>
          <w:sz w:val="20"/>
          <w:szCs w:val="20"/>
        </w:rPr>
        <w:t>6.4.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spacing w:before="0" w:after="0"/>
        <w:ind w:left="432" w:hanging="0"/>
        <w:rPr>
          <w:color w:val="00000A"/>
          <w:sz w:val="20"/>
          <w:szCs w:val="20"/>
        </w:rPr>
      </w:pPr>
      <w:bookmarkStart w:id="5" w:name="art120"/>
      <w:bookmarkEnd w:id="5"/>
      <w:r>
        <w:rPr>
          <w:b/>
          <w:bCs/>
          <w:color w:val="00000A"/>
          <w:sz w:val="20"/>
          <w:szCs w:val="20"/>
        </w:rPr>
        <w:t>6.5.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spacing w:before="0" w:after="0"/>
        <w:ind w:left="432" w:hanging="0"/>
        <w:rPr/>
      </w:pPr>
      <w:bookmarkStart w:id="6" w:name="art121"/>
      <w:bookmarkEnd w:id="6"/>
      <w:r>
        <w:rPr>
          <w:b/>
          <w:bCs/>
          <w:color w:val="00000A"/>
          <w:sz w:val="20"/>
          <w:szCs w:val="20"/>
        </w:rPr>
        <w:t>6.6.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spacing w:before="0" w:after="0"/>
        <w:ind w:left="1355" w:hanging="0"/>
        <w:contextualSpacing/>
        <w:rPr/>
      </w:pPr>
      <w:bookmarkStart w:id="7" w:name="art121§1"/>
      <w:bookmarkEnd w:id="7"/>
      <w:r>
        <w:rPr>
          <w:b/>
          <w:bCs/>
        </w:rPr>
        <w:t>6.6.1.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spacing w:before="0" w:after="0"/>
        <w:ind w:left="432" w:hanging="0"/>
        <w:rPr>
          <w:sz w:val="20"/>
          <w:szCs w:val="20"/>
        </w:rPr>
      </w:pPr>
      <w:bookmarkStart w:id="8" w:name="art123"/>
      <w:bookmarkStart w:id="9" w:name="art122§3"/>
      <w:bookmarkStart w:id="10" w:name="art122§2"/>
      <w:bookmarkStart w:id="11" w:name="art122§1"/>
      <w:bookmarkStart w:id="12" w:name="art122"/>
      <w:bookmarkEnd w:id="8"/>
      <w:bookmarkEnd w:id="9"/>
      <w:bookmarkEnd w:id="10"/>
      <w:bookmarkEnd w:id="11"/>
      <w:bookmarkEnd w:id="12"/>
      <w:r>
        <w:rPr>
          <w:b/>
          <w:bCs/>
          <w:sz w:val="20"/>
          <w:szCs w:val="20"/>
        </w:rPr>
        <w:t xml:space="preserve">6.7.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spacing w:before="0" w:after="0"/>
        <w:ind w:left="432" w:hanging="0"/>
        <w:rPr/>
      </w:pPr>
      <w:r>
        <w:rPr>
          <w:b/>
          <w:bCs/>
          <w:sz w:val="20"/>
          <w:szCs w:val="20"/>
        </w:rPr>
        <w:t>6.8.</w:t>
      </w:r>
      <w:r>
        <w:rPr>
          <w:sz w:val="20"/>
          <w:szCs w:val="20"/>
        </w:rPr>
        <w:t xml:space="preserve"> O órgão ou entidade poderá convocar representante da empresa para adoção de providências que devam ser cumpridas de imediato (IN 5/2017, art. 44, 31º).</w:t>
      </w:r>
    </w:p>
    <w:p>
      <w:pPr>
        <w:pStyle w:val="Nivel2"/>
        <w:spacing w:before="0" w:after="0"/>
        <w:ind w:left="432" w:hanging="0"/>
        <w:rPr/>
      </w:pPr>
      <w:r>
        <w:rPr>
          <w:b/>
          <w:bCs/>
          <w:sz w:val="20"/>
          <w:szCs w:val="20"/>
        </w:rPr>
        <w:t>6.9.</w:t>
      </w:r>
      <w:r>
        <w:rPr>
          <w:sz w:val="20"/>
          <w:szCs w:val="20"/>
        </w:rPr>
        <w:t xml:space="preserve"> Antes do pagamento da nota fiscal ou da fatura, deverá ser consultada a situação da empresa junto ao SICAF.</w:t>
      </w:r>
    </w:p>
    <w:p>
      <w:pPr>
        <w:pStyle w:val="Nivel2"/>
        <w:spacing w:before="0" w:after="0"/>
        <w:ind w:left="432" w:hanging="0"/>
        <w:rPr/>
      </w:pPr>
      <w:r>
        <w:rPr>
          <w:b/>
          <w:bCs/>
          <w:sz w:val="20"/>
          <w:szCs w:val="20"/>
        </w:rPr>
        <w:t>6.10.</w:t>
      </w:r>
      <w:r>
        <w:rPr>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ormal"/>
        <w:rPr>
          <w:sz w:val="20"/>
          <w:szCs w:val="20"/>
        </w:rPr>
      </w:pPr>
      <w:r>
        <w:rPr>
          <w:sz w:val="20"/>
          <w:szCs w:val="20"/>
        </w:rPr>
      </w:r>
    </w:p>
    <w:p>
      <w:pPr>
        <w:pStyle w:val="Nivel1"/>
        <w:numPr>
          <w:ilvl w:val="0"/>
          <w:numId w:val="1"/>
        </w:numPr>
        <w:spacing w:before="0" w:after="0"/>
        <w:rPr>
          <w:sz w:val="20"/>
          <w:szCs w:val="20"/>
        </w:rPr>
      </w:pPr>
      <w:r>
        <w:rPr>
          <w:sz w:val="20"/>
          <w:szCs w:val="20"/>
        </w:rPr>
        <w:t xml:space="preserve">FORMA E CRITÉRIOS DE SELEÇÃO DO FORNECEDOR MEDIANTE O USO DO SISTEMA DE DISPENSA ELETRÔNICA (art. 6º, inciso XXIII, alínea ‘h’, da Lei nº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7.1.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7.2.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rFonts w:eastAsia="Times New Roman"/>
          <w:i/>
          <w:i/>
          <w:iCs/>
          <w:color w:val="FF0000"/>
          <w:sz w:val="20"/>
          <w:szCs w:val="20"/>
          <w:lang w:eastAsia="pt-BR"/>
        </w:rPr>
      </w:pPr>
      <w:r>
        <w:rPr>
          <w:rFonts w:eastAsia="Times New Roman"/>
          <w:b/>
          <w:bCs/>
          <w:sz w:val="20"/>
          <w:szCs w:val="20"/>
          <w:lang w:eastAsia="pt-BR"/>
        </w:rPr>
        <w:t>7.3.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widowControl/>
        <w:numPr>
          <w:ilvl w:val="1"/>
          <w:numId w:val="1"/>
        </w:numPr>
        <w:suppressAutoHyphens w:val="true"/>
        <w:bidi w:val="0"/>
        <w:spacing w:lineRule="auto" w:line="276" w:before="0" w:after="0"/>
        <w:ind w:left="454" w:right="0" w:hanging="0"/>
        <w:jc w:val="both"/>
        <w:rPr>
          <w:rFonts w:eastAsia="Times New Roman"/>
          <w:sz w:val="20"/>
          <w:szCs w:val="20"/>
          <w:lang w:eastAsia="pt-BR"/>
        </w:rPr>
      </w:pPr>
      <w:r>
        <w:rPr>
          <w:rFonts w:eastAsia="Times New Roman"/>
          <w:sz w:val="20"/>
          <w:szCs w:val="20"/>
          <w:lang w:eastAsia="pt-BR"/>
        </w:rPr>
        <w:t>Os critérios de habilitação técnica a serem atendidos pelo fornecedor serão:</w:t>
      </w:r>
    </w:p>
    <w:p>
      <w:pPr>
        <w:pStyle w:val="Nivel2"/>
        <w:spacing w:before="0" w:after="0"/>
        <w:ind w:left="930" w:hanging="0"/>
        <w:rPr>
          <w:bCs/>
          <w:sz w:val="20"/>
          <w:szCs w:val="20"/>
        </w:rPr>
      </w:pPr>
      <w:r>
        <w:rPr>
          <w:bCs/>
          <w:sz w:val="20"/>
          <w:szCs w:val="20"/>
        </w:rPr>
      </w:r>
    </w:p>
    <w:p>
      <w:pPr>
        <w:pStyle w:val="Nivel2"/>
        <w:numPr>
          <w:ilvl w:val="2"/>
          <w:numId w:val="1"/>
        </w:numPr>
        <w:spacing w:before="0" w:after="0"/>
        <w:rPr/>
      </w:pPr>
      <w:r>
        <w:rPr>
          <w:sz w:val="20"/>
          <w:szCs w:val="20"/>
        </w:rPr>
        <w:t>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2"/>
          <w:numId w:val="1"/>
        </w:numPr>
        <w:spacing w:before="0" w:after="0"/>
        <w:rPr>
          <w:sz w:val="20"/>
          <w:szCs w:val="20"/>
        </w:rPr>
      </w:pPr>
      <w:r>
        <w:rPr>
          <w:sz w:val="20"/>
          <w:szCs w:val="20"/>
        </w:rPr>
        <w:t>Os atestados de capacidade técnica poderão ser apresentados em nome da matriz ou da filial do fornecedor.</w:t>
      </w:r>
    </w:p>
    <w:p>
      <w:pPr>
        <w:pStyle w:val="Nivel2"/>
        <w:numPr>
          <w:ilvl w:val="2"/>
          <w:numId w:val="1"/>
        </w:numPr>
        <w:spacing w:before="0" w:after="0"/>
        <w:rPr>
          <w:bCs/>
          <w:i/>
          <w:i/>
          <w:color w:val="FF0000"/>
          <w:sz w:val="20"/>
          <w:szCs w:val="20"/>
        </w:rPr>
      </w:pP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spacing w:before="0" w:after="0"/>
        <w:rPr>
          <w:sz w:val="20"/>
          <w:szCs w:val="20"/>
        </w:rPr>
      </w:pPr>
      <w:r>
        <w:rPr>
          <w:sz w:val="20"/>
          <w:szCs w:val="20"/>
        </w:rPr>
      </w:r>
    </w:p>
    <w:p>
      <w:pPr>
        <w:pStyle w:val="Nivel2"/>
        <w:numPr>
          <w:ilvl w:val="1"/>
          <w:numId w:val="1"/>
        </w:numPr>
        <w:spacing w:before="0" w:after="0"/>
        <w:ind w:left="284" w:hanging="0"/>
        <w:rPr>
          <w:i/>
          <w:i/>
          <w:iCs/>
          <w:color w:val="FF0000"/>
          <w:sz w:val="20"/>
          <w:szCs w:val="20"/>
        </w:rPr>
      </w:pPr>
      <w:r>
        <w:rPr>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1"/>
          <w:numId w:val="1"/>
        </w:numPr>
        <w:spacing w:before="0" w:after="0"/>
        <w:ind w:left="284" w:hanging="0"/>
        <w:rPr>
          <w:i/>
          <w:i/>
          <w:iCs/>
          <w:color w:val="FF0000"/>
          <w:sz w:val="20"/>
          <w:szCs w:val="20"/>
        </w:rPr>
      </w:pPr>
      <w:r>
        <w:rPr>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1"/>
        </w:numPr>
        <w:spacing w:before="0" w:after="0"/>
        <w:ind w:left="284" w:hanging="0"/>
        <w:rPr>
          <w:i/>
          <w:i/>
          <w:iCs/>
          <w:color w:val="FF0000"/>
          <w:sz w:val="20"/>
          <w:szCs w:val="20"/>
        </w:rPr>
      </w:pPr>
      <w:r>
        <w:rPr>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1"/>
          <w:numId w:val="1"/>
        </w:numPr>
        <w:spacing w:before="0" w:after="0"/>
        <w:ind w:left="284" w:hanging="0"/>
        <w:rPr>
          <w:i/>
          <w:i/>
          <w:iCs/>
          <w:color w:val="FF0000"/>
          <w:sz w:val="20"/>
          <w:szCs w:val="20"/>
        </w:rPr>
      </w:pPr>
      <w:r>
        <w:rPr>
          <w:sz w:val="20"/>
          <w:szCs w:val="20"/>
        </w:rPr>
        <w:t>A tentativa de burla será verificada por meio dos vínculos societários, linhas de fornecimento similares, dentre outros.</w:t>
      </w:r>
    </w:p>
    <w:p>
      <w:pPr>
        <w:pStyle w:val="Nivel2"/>
        <w:numPr>
          <w:ilvl w:val="1"/>
          <w:numId w:val="1"/>
        </w:numPr>
        <w:spacing w:before="0" w:after="0"/>
        <w:ind w:left="284" w:hanging="0"/>
        <w:rPr>
          <w:i/>
          <w:i/>
          <w:iCs/>
          <w:color w:val="FF0000"/>
          <w:sz w:val="20"/>
          <w:szCs w:val="20"/>
        </w:rPr>
      </w:pPr>
      <w:r>
        <w:rPr>
          <w:sz w:val="20"/>
          <w:szCs w:val="20"/>
        </w:rPr>
        <w:t>O fornecedor será convocado para manifestação previamente a uma eventual negativa de contratação.</w:t>
      </w:r>
    </w:p>
    <w:p>
      <w:pPr>
        <w:pStyle w:val="Nivel2"/>
        <w:numPr>
          <w:ilvl w:val="1"/>
          <w:numId w:val="1"/>
        </w:numPr>
        <w:spacing w:before="0" w:after="0"/>
        <w:ind w:left="284" w:hanging="0"/>
        <w:rPr>
          <w:i/>
          <w:i/>
          <w:iCs/>
          <w:color w:val="FF0000"/>
          <w:sz w:val="20"/>
          <w:szCs w:val="20"/>
        </w:rPr>
      </w:pPr>
      <w:r>
        <w:rPr>
          <w:sz w:val="20"/>
          <w:szCs w:val="20"/>
        </w:rPr>
        <w:t>Caso atendidas as condições para contratação, a habilitação do fornecedor será verificada por meio do SICAF, nos documentos por ele abrangidos.</w:t>
      </w:r>
    </w:p>
    <w:p>
      <w:pPr>
        <w:pStyle w:val="Nivel2"/>
        <w:numPr>
          <w:ilvl w:val="1"/>
          <w:numId w:val="1"/>
        </w:numPr>
        <w:spacing w:before="0" w:after="0"/>
        <w:ind w:left="284" w:hanging="0"/>
        <w:rPr>
          <w:i/>
          <w:i/>
          <w:iCs/>
          <w:color w:val="FF0000"/>
          <w:sz w:val="20"/>
          <w:szCs w:val="20"/>
        </w:rPr>
      </w:pPr>
      <w:r>
        <w:rPr>
          <w:sz w:val="20"/>
          <w:szCs w:val="20"/>
        </w:rPr>
        <w:t>É dever do fornecedor manter atualizada a respectiva documentação constante do SICAF, ou encaminhar, quando solicitado pela Administração, a respectiva documentação atualizada.</w:t>
      </w:r>
    </w:p>
    <w:p>
      <w:pPr>
        <w:pStyle w:val="Nivel2"/>
        <w:numPr>
          <w:ilvl w:val="1"/>
          <w:numId w:val="1"/>
        </w:numPr>
        <w:spacing w:before="0" w:after="0"/>
        <w:ind w:left="284" w:hanging="0"/>
        <w:rPr>
          <w:i/>
          <w:i/>
          <w:iCs/>
          <w:color w:val="FF0000"/>
          <w:sz w:val="20"/>
          <w:szCs w:val="20"/>
        </w:rPr>
      </w:pPr>
      <w:r>
        <w:rPr>
          <w:sz w:val="20"/>
          <w:szCs w:val="20"/>
        </w:rPr>
        <w:t>Não serão aceitos documentos de habilitação com indicação de CNPJ/CPF diferentes, salvo aqueles legalmente permitidos.</w:t>
      </w:r>
    </w:p>
    <w:p>
      <w:pPr>
        <w:pStyle w:val="Nivel2"/>
        <w:numPr>
          <w:ilvl w:val="1"/>
          <w:numId w:val="1"/>
        </w:numPr>
        <w:spacing w:before="0" w:after="0"/>
        <w:ind w:left="284" w:hanging="0"/>
        <w:rPr>
          <w:i/>
          <w:i/>
          <w:iCs/>
          <w:color w:val="FF0000"/>
          <w:sz w:val="20"/>
          <w:szCs w:val="20"/>
        </w:rPr>
      </w:pPr>
      <w:r>
        <w:rPr>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1"/>
        </w:numPr>
        <w:spacing w:before="0" w:after="0"/>
        <w:ind w:left="284" w:hanging="0"/>
        <w:rPr>
          <w:i/>
          <w:i/>
          <w:iCs/>
          <w:color w:val="FF0000"/>
          <w:sz w:val="20"/>
          <w:szCs w:val="20"/>
        </w:rPr>
      </w:pPr>
      <w:r>
        <w:rPr>
          <w:sz w:val="20"/>
          <w:szCs w:val="20"/>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1"/>
        </w:numPr>
        <w:spacing w:before="0" w:after="0"/>
        <w:ind w:left="284" w:hanging="0"/>
        <w:rPr>
          <w:sz w:val="20"/>
          <w:szCs w:val="20"/>
        </w:rPr>
      </w:pPr>
      <w:r>
        <w:rPr>
          <w:sz w:val="20"/>
          <w:szCs w:val="20"/>
        </w:rPr>
        <w:t>Para fins de contratação, deverá o fornecedor comprovar os seguintes requisitos de habilitação:</w:t>
      </w:r>
    </w:p>
    <w:p>
      <w:pPr>
        <w:pStyle w:val="Nivel2"/>
        <w:numPr>
          <w:ilvl w:val="1"/>
          <w:numId w:val="1"/>
        </w:numPr>
        <w:spacing w:before="0" w:after="0"/>
        <w:ind w:left="284" w:hanging="0"/>
        <w:rPr/>
      </w:pPr>
      <w:r>
        <w:rPr>
          <w:b/>
          <w:sz w:val="20"/>
          <w:szCs w:val="20"/>
        </w:rPr>
        <w:t>Habilitação Jurídica</w:t>
      </w:r>
      <w:r>
        <w:rPr>
          <w:b/>
          <w:bCs/>
          <w:sz w:val="20"/>
          <w:szCs w:val="20"/>
        </w:rPr>
        <w:t xml:space="preserve">: </w:t>
      </w:r>
    </w:p>
    <w:p>
      <w:pPr>
        <w:pStyle w:val="Normal"/>
        <w:numPr>
          <w:ilvl w:val="2"/>
          <w:numId w:val="1"/>
        </w:numPr>
        <w:spacing w:lineRule="auto" w:line="276" w:before="120" w:after="120"/>
        <w:jc w:val="both"/>
        <w:rPr>
          <w:color w:val="000000"/>
        </w:rPr>
      </w:pPr>
      <w:r>
        <w:rPr>
          <w:rFonts w:cs="Arial" w:ascii="Arial" w:hAnsi="Arial"/>
          <w:b/>
          <w:color w:val="000000"/>
          <w:sz w:val="20"/>
          <w:szCs w:val="20"/>
        </w:rPr>
        <w:t>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2"/>
          <w:numId w:val="1"/>
        </w:numPr>
        <w:spacing w:lineRule="auto" w:line="276" w:before="120" w:after="120"/>
        <w:jc w:val="both"/>
        <w:rPr/>
      </w:pPr>
      <w:r>
        <w:rPr>
          <w:rFonts w:cs="Arial" w:ascii="Arial" w:hAnsi="Arial"/>
          <w:b/>
          <w:color w:val="000000"/>
          <w:sz w:val="20"/>
          <w:szCs w:val="20"/>
        </w:rPr>
        <w:t>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2"/>
          <w:numId w:val="1"/>
        </w:numPr>
        <w:spacing w:lineRule="auto" w:line="276" w:before="120" w:after="120"/>
        <w:jc w:val="both"/>
        <w:rPr/>
      </w:pPr>
      <w:r>
        <w:rPr>
          <w:rFonts w:cs="Arial" w:ascii="Arial" w:hAnsi="Arial"/>
          <w:b/>
          <w:color w:val="000000"/>
          <w:sz w:val="20"/>
          <w:szCs w:val="20"/>
        </w:rPr>
        <w:t>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2"/>
          <w:numId w:val="1"/>
        </w:numPr>
        <w:spacing w:lineRule="auto" w:line="276" w:before="120" w:after="120"/>
        <w:jc w:val="both"/>
        <w:rPr/>
      </w:pPr>
      <w:r>
        <w:rPr>
          <w:rFonts w:cs="Arial" w:ascii="Arial" w:hAnsi="Arial"/>
          <w:b/>
          <w:color w:val="000000"/>
          <w:sz w:val="20"/>
          <w:szCs w:val="20"/>
        </w:rPr>
        <w:t>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2"/>
          <w:numId w:val="1"/>
        </w:numPr>
        <w:spacing w:lineRule="auto" w:line="276" w:before="120" w:after="120"/>
        <w:jc w:val="both"/>
        <w:rPr/>
      </w:pPr>
      <w:r>
        <w:rPr>
          <w:rFonts w:cs="Arial" w:ascii="Arial" w:hAnsi="Arial"/>
          <w:b/>
          <w:color w:val="000000"/>
          <w:sz w:val="20"/>
          <w:szCs w:val="20"/>
        </w:rPr>
        <w:t>Sociedade empresária estrangeira com atuação permanente no País</w:t>
      </w:r>
      <w:r>
        <w:rPr>
          <w:rFonts w:cs="Arial" w:ascii="Arial" w:hAnsi="Arial"/>
          <w:color w:val="000000"/>
          <w:sz w:val="20"/>
          <w:szCs w:val="20"/>
        </w:rPr>
        <w:t>: decreto de autorização para funcionamento no Brasil;</w:t>
      </w:r>
    </w:p>
    <w:p>
      <w:pPr>
        <w:pStyle w:val="Normal"/>
        <w:numPr>
          <w:ilvl w:val="2"/>
          <w:numId w:val="1"/>
        </w:numPr>
        <w:spacing w:lineRule="auto" w:line="276" w:before="120" w:after="120"/>
        <w:jc w:val="both"/>
        <w:rPr/>
      </w:pPr>
      <w:r>
        <w:rPr>
          <w:rFonts w:cs="Arial" w:ascii="Arial" w:hAnsi="Arial"/>
          <w:b/>
          <w:color w:val="000000"/>
          <w:sz w:val="20"/>
          <w:szCs w:val="20"/>
        </w:rPr>
        <w:t>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2"/>
          <w:numId w:val="1"/>
        </w:numPr>
        <w:spacing w:lineRule="auto" w:line="276" w:before="120" w:after="120"/>
        <w:jc w:val="both"/>
        <w:rPr>
          <w:color w:val="000000"/>
        </w:rPr>
      </w:pPr>
      <w:r>
        <w:rPr>
          <w:rFonts w:cs="Arial" w:ascii="Arial" w:hAnsi="Arial"/>
          <w:b/>
          <w:color w:val="000000"/>
          <w:sz w:val="20"/>
          <w:szCs w:val="20"/>
        </w:rPr>
        <w:t>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2"/>
          <w:numId w:val="1"/>
        </w:numPr>
        <w:spacing w:lineRule="auto" w:line="276" w:before="120" w:after="120"/>
        <w:jc w:val="both"/>
        <w:rPr>
          <w:color w:val="000000"/>
        </w:rPr>
      </w:pPr>
      <w:r>
        <w:rPr>
          <w:rFonts w:cs="Arial" w:ascii="Arial" w:hAnsi="Arial"/>
          <w:b/>
          <w:color w:val="000000"/>
          <w:sz w:val="20"/>
          <w:szCs w:val="20"/>
        </w:rPr>
        <w:t>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7.18.10.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spacing w:lineRule="auto" w:line="276" w:before="120" w:after="120"/>
        <w:ind w:left="930" w:hanging="0"/>
        <w:jc w:val="both"/>
        <w:rPr>
          <w:color w:val="000000"/>
        </w:rPr>
      </w:pPr>
      <w:r>
        <w:rPr>
          <w:color w:val="000000"/>
        </w:rPr>
      </w:r>
    </w:p>
    <w:p>
      <w:pPr>
        <w:pStyle w:val="Normal"/>
        <w:numPr>
          <w:ilvl w:val="1"/>
          <w:numId w:val="1"/>
        </w:numPr>
        <w:spacing w:lineRule="auto" w:line="276" w:before="120" w:after="120"/>
        <w:ind w:left="425" w:hanging="0"/>
        <w:jc w:val="both"/>
        <w:rPr>
          <w:color w:val="000000"/>
        </w:rPr>
      </w:pPr>
      <w:r>
        <w:rPr>
          <w:rFonts w:cs="Arial" w:ascii="Arial" w:hAnsi="Arial"/>
          <w:b/>
          <w:color w:val="000000"/>
          <w:sz w:val="20"/>
          <w:szCs w:val="20"/>
        </w:rPr>
        <w:t>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7.19.1.</w:t>
      </w:r>
      <w:r>
        <w:rPr>
          <w:rFonts w:cs="Arial" w:ascii="Arial" w:hAnsi="Arial"/>
          <w:color w:val="000000"/>
          <w:sz w:val="20"/>
          <w:szCs w:val="20"/>
        </w:rPr>
        <w:tab/>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7.19.2.</w:t>
      </w:r>
      <w:r>
        <w:rPr>
          <w:rFonts w:cs="Arial" w:ascii="Arial" w:hAnsi="Arial"/>
          <w:color w:val="000000"/>
          <w:sz w:val="20"/>
          <w:szCs w:val="20"/>
        </w:rPr>
        <w:tab/>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7.19.4.</w:t>
      </w:r>
      <w:r>
        <w:rPr>
          <w:rFonts w:cs="Arial" w:ascii="Arial" w:hAnsi="Arial"/>
          <w:color w:val="000000"/>
          <w:sz w:val="20"/>
          <w:szCs w:val="20"/>
        </w:rPr>
        <w:tab/>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7.19.5.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7.19.7.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7.19.7.1.</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7.19.8.</w:t>
      </w:r>
      <w:r>
        <w:rPr>
          <w:rFonts w:cs="Arial" w:ascii="Arial" w:hAnsi="Arial"/>
          <w:color w:val="000000"/>
          <w:sz w:val="20"/>
          <w:szCs w:val="20"/>
        </w:rPr>
        <w:tab/>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7.19.8.1.</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1"/>
          <w:numId w:val="1"/>
        </w:numPr>
        <w:spacing w:lineRule="auto" w:line="276" w:before="120" w:after="120"/>
        <w:ind w:left="425" w:hanging="0"/>
        <w:jc w:val="both"/>
        <w:rPr>
          <w:color w:val="000000"/>
        </w:rPr>
      </w:pPr>
      <w:r>
        <w:rPr>
          <w:rFonts w:cs="Arial" w:ascii="Arial" w:hAnsi="Arial"/>
          <w:color w:val="000000"/>
          <w:sz w:val="20"/>
          <w:szCs w:val="20"/>
        </w:rPr>
        <w:t>Será exigida do fornecedor, ainda, a seguinte documentação complementar:</w:t>
      </w:r>
    </w:p>
    <w:p>
      <w:pPr>
        <w:pStyle w:val="Normal"/>
        <w:numPr>
          <w:ilvl w:val="2"/>
          <w:numId w:val="1"/>
        </w:numPr>
        <w:spacing w:lineRule="auto" w:line="276" w:before="120" w:after="120"/>
        <w:ind w:left="1922" w:hanging="504"/>
        <w:jc w:val="both"/>
        <w:rPr/>
      </w:pP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declaração de regularidade de situação do contribuinte individual – DRSCI, para cada um dos cooperados indicados;</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A comprovação do capital social proporcional ao número de cooperados necessários à prestação do serviço;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O registro previsto na Lei n. 5.764/71, art. 107;</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 xml:space="preserve">A comprovação de integração das respectivas quotas-partes por parte dos cooperados que executarão o contrato;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1"/>
        </w:numPr>
        <w:spacing w:before="0" w:after="0"/>
        <w:rPr>
          <w:sz w:val="20"/>
          <w:szCs w:val="20"/>
        </w:rPr>
      </w:pPr>
      <w:r>
        <w:rPr>
          <w:sz w:val="20"/>
          <w:szCs w:val="20"/>
        </w:rPr>
        <w:t xml:space="preserve">ADEQUAÇÃO ORÇAMENTÁRIA </w:t>
      </w:r>
    </w:p>
    <w:p>
      <w:pPr>
        <w:pStyle w:val="ListParagraph"/>
        <w:spacing w:lineRule="auto" w:line="276" w:before="0" w:after="0"/>
        <w:ind w:left="1152" w:hanging="0"/>
        <w:contextualSpacing/>
        <w:jc w:val="both"/>
        <w:rPr/>
      </w:pPr>
      <w:r>
        <w:rPr>
          <w:rFonts w:cs="Arial" w:ascii="Arial" w:hAnsi="Arial"/>
          <w:b/>
          <w:bCs/>
          <w:sz w:val="20"/>
          <w:szCs w:val="20"/>
        </w:rPr>
        <w:t>8.1.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8.2.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1133" w:firstLine="283"/>
        <w:jc w:val="both"/>
        <w:rPr/>
      </w:pPr>
      <w:r>
        <w:rPr>
          <w:rFonts w:cs="Arial" w:ascii="Arial" w:hAnsi="Arial"/>
          <w:color w:val="000000"/>
          <w:sz w:val="20"/>
          <w:szCs w:val="20"/>
        </w:rPr>
        <w:t xml:space="preserve">Gestão/Unidade: </w:t>
      </w:r>
      <w:r>
        <w:rPr>
          <w:rFonts w:eastAsia="Calibri" w:cs="Arial" w:ascii="Arial" w:hAnsi="Arial"/>
          <w:color w:val="000000"/>
          <w:kern w:val="0"/>
          <w:sz w:val="20"/>
          <w:szCs w:val="20"/>
          <w:lang w:val="pt-BR" w:eastAsia="en-US" w:bidi="ar-SA"/>
        </w:rPr>
        <w:t>83000</w:t>
      </w:r>
      <w:r>
        <w:rPr>
          <w:rFonts w:cs="Arial" w:ascii="Arial" w:hAnsi="Arial"/>
          <w:color w:val="000000"/>
          <w:sz w:val="20"/>
          <w:szCs w:val="20"/>
        </w:rPr>
        <w:t>;</w:t>
      </w:r>
    </w:p>
    <w:p>
      <w:pPr>
        <w:pStyle w:val="Normal"/>
        <w:spacing w:lineRule="auto" w:line="276" w:before="0" w:after="0"/>
        <w:ind w:left="850" w:firstLine="566"/>
        <w:jc w:val="both"/>
        <w:rPr/>
      </w:pPr>
      <w:r>
        <w:rPr>
          <w:rFonts w:cs="Arial" w:ascii="Arial" w:hAnsi="Arial"/>
          <w:color w:val="000000"/>
          <w:sz w:val="20"/>
          <w:szCs w:val="20"/>
        </w:rPr>
        <w:t xml:space="preserve">Fonte de Recursos: </w:t>
      </w:r>
      <w:r>
        <w:rPr>
          <w:rFonts w:cs="Arial" w:ascii="Arial" w:hAnsi="Arial"/>
          <w:sz w:val="20"/>
          <w:szCs w:val="20"/>
        </w:rPr>
        <w:t>1050000144</w:t>
      </w:r>
      <w:r>
        <w:rPr>
          <w:rFonts w:cs="Arial" w:ascii="Arial" w:hAnsi="Arial"/>
          <w:color w:val="000000"/>
          <w:sz w:val="20"/>
          <w:szCs w:val="20"/>
        </w:rPr>
        <w:t>;</w:t>
      </w:r>
    </w:p>
    <w:p>
      <w:pPr>
        <w:pStyle w:val="Normal"/>
        <w:spacing w:lineRule="auto" w:line="276" w:before="0" w:after="0"/>
        <w:ind w:left="1133" w:firstLine="283"/>
        <w:jc w:val="both"/>
        <w:rPr/>
      </w:pPr>
      <w:r>
        <w:rPr>
          <w:rFonts w:cs="Arial" w:ascii="Arial" w:hAnsi="Arial"/>
          <w:color w:val="000000"/>
          <w:sz w:val="20"/>
          <w:szCs w:val="20"/>
        </w:rPr>
        <w:t xml:space="preserve">Programa de Trabalho: </w:t>
      </w:r>
      <w:r>
        <w:rPr>
          <w:rFonts w:cs="Arial" w:ascii="Arial" w:hAnsi="Arial"/>
          <w:sz w:val="20"/>
          <w:szCs w:val="20"/>
        </w:rPr>
        <w:t>174678</w:t>
      </w:r>
      <w:r>
        <w:rPr>
          <w:rFonts w:cs="Arial" w:ascii="Arial" w:hAnsi="Arial"/>
          <w:color w:val="000000"/>
          <w:sz w:val="20"/>
          <w:szCs w:val="20"/>
        </w:rPr>
        <w:t>;</w:t>
      </w:r>
    </w:p>
    <w:p>
      <w:pPr>
        <w:pStyle w:val="Normal"/>
        <w:spacing w:lineRule="auto" w:line="276" w:before="0" w:after="0"/>
        <w:ind w:left="850" w:firstLine="566"/>
        <w:jc w:val="both"/>
        <w:rPr>
          <w:color w:val="000000"/>
        </w:rPr>
      </w:pPr>
      <w:r>
        <w:rPr>
          <w:rFonts w:cs="Arial" w:ascii="Arial" w:hAnsi="Arial"/>
          <w:color w:val="000000"/>
          <w:sz w:val="20"/>
          <w:szCs w:val="20"/>
        </w:rPr>
        <w:t>Elemento de Despesa: 339039;</w:t>
      </w:r>
    </w:p>
    <w:p>
      <w:pPr>
        <w:pStyle w:val="Normal"/>
        <w:spacing w:lineRule="auto" w:line="276" w:before="0" w:after="0"/>
        <w:ind w:left="850" w:firstLine="566"/>
        <w:jc w:val="both"/>
        <w:rPr/>
      </w:pPr>
      <w:r>
        <w:rPr>
          <w:rFonts w:cs="Arial" w:ascii="Arial" w:hAnsi="Arial"/>
          <w:i/>
          <w:iCs/>
          <w:color w:val="000000"/>
          <w:sz w:val="20"/>
          <w:szCs w:val="20"/>
        </w:rPr>
        <w:t xml:space="preserve">Plano Interno: </w:t>
      </w:r>
      <w:r>
        <w:rPr>
          <w:rFonts w:cs="Arial" w:ascii="Arial" w:hAnsi="Arial"/>
          <w:i/>
          <w:iCs/>
          <w:color w:val="000000"/>
          <w:sz w:val="20"/>
          <w:szCs w:val="20"/>
        </w:rPr>
        <w:t>Z4C3SLN01L0</w:t>
      </w:r>
      <w:r>
        <w:rPr>
          <w:rFonts w:cs="Arial" w:ascii="Arial" w:hAnsi="Arial"/>
          <w:i/>
          <w:iCs/>
          <w:color w:val="000000"/>
          <w:sz w:val="20"/>
          <w:szCs w:val="20"/>
        </w:rPr>
        <w:t>;</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8.3.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360"/>
        <w:ind w:left="360" w:hanging="0"/>
        <w:rPr>
          <w:b w:val="false"/>
          <w:b w:val="false"/>
          <w:bCs w:val="false"/>
          <w:color w:val="000000"/>
        </w:rPr>
      </w:pPr>
      <w:r>
        <w:rPr>
          <w:rFonts w:cs="Arial" w:ascii="Arial" w:hAnsi="Arial"/>
          <w:b w:val="false"/>
          <w:bCs w:val="false"/>
          <w:i w:val="false"/>
          <w:iCs w:val="false"/>
          <w:color w:val="000000"/>
          <w:sz w:val="20"/>
          <w:szCs w:val="20"/>
        </w:rPr>
        <w:t>Natal</w:t>
      </w:r>
      <w:r>
        <w:rPr>
          <w:rFonts w:cs="Arial" w:ascii="Arial" w:hAnsi="Arial"/>
          <w:b w:val="false"/>
          <w:bCs w:val="false"/>
          <w:color w:val="000000"/>
          <w:sz w:val="20"/>
          <w:szCs w:val="20"/>
        </w:rPr>
        <w:t>, RN, .......... de ju</w:t>
      </w:r>
      <w:r>
        <w:rPr>
          <w:rFonts w:cs="Arial" w:ascii="Arial" w:hAnsi="Arial"/>
          <w:b w:val="false"/>
          <w:bCs w:val="false"/>
          <w:color w:val="000000"/>
          <w:sz w:val="20"/>
          <w:szCs w:val="20"/>
        </w:rPr>
        <w:t>lho</w:t>
      </w:r>
      <w:r>
        <w:rPr>
          <w:rFonts w:cs="Arial" w:ascii="Arial" w:hAnsi="Arial"/>
          <w:b w:val="false"/>
          <w:bCs w:val="false"/>
          <w:color w:val="000000"/>
          <w:sz w:val="20"/>
          <w:szCs w:val="20"/>
        </w:rPr>
        <w:t xml:space="preserve"> de 2023.</w:t>
      </w:r>
      <w:r>
        <w:rPr>
          <w:rFonts w:cs="Arial" w:ascii="Arial" w:hAnsi="Arial"/>
          <w:b w:val="false"/>
          <w:bCs w:val="false"/>
          <w:color w:val="000000"/>
          <w:sz w:val="20"/>
          <w:szCs w:val="20"/>
        </w:rPr>
        <w:t xml:space="preserve"> </w:t>
      </w:r>
    </w:p>
    <w:p>
      <w:pPr>
        <w:pStyle w:val="Normal"/>
        <w:spacing w:before="0" w:after="360"/>
        <w:ind w:left="360" w:hanging="0"/>
        <w:rPr>
          <w:rFonts w:ascii="Arial" w:hAnsi="Arial"/>
          <w:sz w:val="20"/>
          <w:szCs w:val="20"/>
        </w:rPr>
      </w:pPr>
      <w:r>
        <w:rPr>
          <w:rFonts w:cs="Arial" w:ascii="Arial" w:hAnsi="Arial"/>
          <w:sz w:val="20"/>
          <w:szCs w:val="20"/>
        </w:rPr>
        <w:t>Elaborado por:</w:t>
      </w:r>
    </w:p>
    <w:p>
      <w:pPr>
        <w:pStyle w:val="Normal"/>
        <w:spacing w:before="0" w:after="0"/>
        <w:ind w:left="360" w:hanging="0"/>
        <w:jc w:val="center"/>
        <w:rPr>
          <w:rFonts w:ascii="Arial" w:hAnsi="Arial"/>
          <w:sz w:val="20"/>
          <w:szCs w:val="20"/>
        </w:rPr>
      </w:pPr>
      <w:r>
        <w:rPr>
          <w:rFonts w:cs="Arial" w:ascii="Arial" w:hAnsi="Arial"/>
          <w:sz w:val="20"/>
          <w:szCs w:val="20"/>
        </w:rPr>
        <w:t>__________________________________</w:t>
      </w:r>
    </w:p>
    <w:p>
      <w:pPr>
        <w:pStyle w:val="Normal"/>
        <w:spacing w:before="0" w:after="0"/>
        <w:jc w:val="center"/>
        <w:rPr>
          <w:rFonts w:ascii="Arial" w:hAnsi="Arial"/>
          <w:b w:val="false"/>
          <w:b w:val="false"/>
          <w:bCs w:val="false"/>
          <w:color w:val="000000"/>
          <w:sz w:val="20"/>
          <w:szCs w:val="20"/>
        </w:rPr>
      </w:pPr>
      <w:r>
        <w:rPr>
          <w:rFonts w:ascii="Arial" w:hAnsi="Arial"/>
          <w:b w:val="false"/>
          <w:bCs w:val="false"/>
          <w:color w:val="000000"/>
          <w:sz w:val="20"/>
          <w:szCs w:val="20"/>
        </w:rPr>
        <w:t>RONNEY GOMES FERREIRA</w:t>
      </w:r>
    </w:p>
    <w:p>
      <w:pPr>
        <w:pStyle w:val="Normal"/>
        <w:snapToGrid w:val="false"/>
        <w:spacing w:before="0" w:after="0"/>
        <w:ind w:left="0" w:right="50" w:hanging="0"/>
        <w:jc w:val="center"/>
        <w:rPr>
          <w:rFonts w:ascii="Arial" w:hAnsi="Arial" w:cs="Arial"/>
          <w:b w:val="false"/>
          <w:b w:val="false"/>
          <w:bCs w:val="false"/>
          <w:color w:val="000000"/>
          <w:sz w:val="20"/>
          <w:szCs w:val="20"/>
        </w:rPr>
      </w:pPr>
      <w:r>
        <w:rPr>
          <w:rFonts w:cs="Arial" w:ascii="Arial" w:hAnsi="Arial"/>
          <w:b w:val="false"/>
          <w:bCs w:val="false"/>
          <w:color w:val="000000"/>
          <w:sz w:val="20"/>
          <w:szCs w:val="20"/>
        </w:rPr>
        <w:t>Primeiro-Tenente (AA)</w:t>
      </w:r>
    </w:p>
    <w:p>
      <w:pPr>
        <w:pStyle w:val="Normal"/>
        <w:snapToGrid w:val="false"/>
        <w:spacing w:before="0" w:after="0"/>
        <w:ind w:left="0" w:right="-3" w:hanging="0"/>
        <w:jc w:val="center"/>
        <w:rPr>
          <w:rFonts w:ascii="Arial" w:hAnsi="Arial" w:cs="Arial"/>
          <w:b w:val="false"/>
          <w:b w:val="false"/>
          <w:bCs w:val="false"/>
          <w:color w:val="000000"/>
          <w:sz w:val="20"/>
          <w:szCs w:val="20"/>
        </w:rPr>
      </w:pPr>
      <w:r>
        <w:rPr>
          <w:rStyle w:val="Fontepargpadro"/>
          <w:rFonts w:cs="Arial" w:ascii="Arial" w:hAnsi="Arial"/>
          <w:b w:val="false"/>
          <w:bCs w:val="false"/>
          <w:color w:val="000000"/>
          <w:sz w:val="20"/>
          <w:szCs w:val="20"/>
        </w:rPr>
        <w:t xml:space="preserve">    </w:t>
      </w:r>
      <w:r>
        <w:rPr>
          <w:rStyle w:val="Fontepargpadro"/>
          <w:rFonts w:cs="Arial" w:ascii="Arial" w:hAnsi="Arial"/>
          <w:b w:val="false"/>
          <w:bCs w:val="false"/>
          <w:color w:val="000000"/>
          <w:sz w:val="20"/>
          <w:szCs w:val="20"/>
        </w:rPr>
        <w:t>Encarregado da Divisão de Manutenção</w:t>
      </w:r>
    </w:p>
    <w:p>
      <w:pPr>
        <w:pStyle w:val="Normal"/>
        <w:spacing w:before="0" w:after="0"/>
        <w:jc w:val="center"/>
        <w:rPr>
          <w:rFonts w:cs="Arial"/>
          <w:szCs w:val="20"/>
        </w:rPr>
      </w:pPr>
      <w:r>
        <w:rPr>
          <w:rFonts w:cs="Arial"/>
          <w:szCs w:val="20"/>
        </w:rPr>
      </w:r>
    </w:p>
    <w:p>
      <w:pPr>
        <w:pStyle w:val="Normal"/>
        <w:spacing w:before="0" w:after="0"/>
        <w:jc w:val="center"/>
        <w:rPr>
          <w:rFonts w:cs="Arial"/>
          <w:szCs w:val="20"/>
        </w:rPr>
      </w:pPr>
      <w:r>
        <w:rPr>
          <w:rFonts w:cs="Arial"/>
          <w:szCs w:val="20"/>
        </w:rPr>
      </w:r>
    </w:p>
    <w:p>
      <w:pPr>
        <w:pStyle w:val="Normal"/>
        <w:spacing w:before="0" w:after="0"/>
        <w:ind w:left="360" w:hanging="0"/>
        <w:jc w:val="center"/>
        <w:rPr>
          <w:rFonts w:ascii="Arial" w:hAnsi="Arial" w:cs="Arial"/>
          <w:sz w:val="20"/>
          <w:szCs w:val="20"/>
        </w:rPr>
      </w:pPr>
      <w:r>
        <w:rPr>
          <w:rFonts w:cs="Arial" w:ascii="Arial" w:hAnsi="Arial"/>
          <w:sz w:val="20"/>
          <w:szCs w:val="20"/>
        </w:rPr>
      </w:r>
    </w:p>
    <w:p>
      <w:pPr>
        <w:pStyle w:val="Normal"/>
        <w:spacing w:before="0" w:after="360"/>
        <w:ind w:left="360" w:hanging="0"/>
        <w:rPr>
          <w:rFonts w:ascii="Arial" w:hAnsi="Arial"/>
          <w:sz w:val="20"/>
          <w:szCs w:val="20"/>
        </w:rPr>
      </w:pPr>
      <w:r>
        <w:rPr/>
      </w:r>
    </w:p>
    <w:p>
      <w:pPr>
        <w:pStyle w:val="Normal"/>
        <w:spacing w:before="0" w:after="360"/>
        <w:ind w:left="360" w:hanging="0"/>
        <w:rPr>
          <w:rFonts w:ascii="Arial" w:hAnsi="Arial"/>
          <w:sz w:val="20"/>
          <w:szCs w:val="20"/>
        </w:rPr>
      </w:pPr>
      <w:r>
        <w:rPr>
          <w:rFonts w:cs="Arial" w:ascii="Arial" w:hAnsi="Arial"/>
          <w:sz w:val="20"/>
          <w:szCs w:val="20"/>
        </w:rPr>
        <w:t>Aprovado por:</w:t>
      </w:r>
    </w:p>
    <w:p>
      <w:pPr>
        <w:pStyle w:val="Normal"/>
        <w:spacing w:before="0" w:after="360"/>
        <w:ind w:left="360" w:hanging="0"/>
        <w:rPr>
          <w:rFonts w:ascii="Arial" w:hAnsi="Arial"/>
          <w:sz w:val="20"/>
          <w:szCs w:val="20"/>
        </w:rPr>
      </w:pPr>
      <w:r>
        <w:rPr>
          <w:rFonts w:ascii="Arial" w:hAnsi="Arial"/>
          <w:sz w:val="20"/>
          <w:szCs w:val="20"/>
        </w:rPr>
      </w:r>
    </w:p>
    <w:p>
      <w:pPr>
        <w:pStyle w:val="Normal"/>
        <w:spacing w:before="0" w:after="0"/>
        <w:ind w:left="360" w:hanging="0"/>
        <w:jc w:val="center"/>
        <w:rPr>
          <w:rFonts w:ascii="Arial" w:hAnsi="Arial"/>
          <w:color w:val="538135"/>
          <w:sz w:val="20"/>
          <w:szCs w:val="20"/>
        </w:rPr>
      </w:pPr>
      <w:r>
        <w:rPr>
          <w:rFonts w:cs="Arial" w:ascii="Arial" w:hAnsi="Arial"/>
          <w:color w:val="538135" w:themeColor="accent6" w:themeShade="bf"/>
          <w:sz w:val="20"/>
          <w:szCs w:val="20"/>
        </w:rPr>
        <w:t>__________________________________</w:t>
      </w:r>
    </w:p>
    <w:p>
      <w:pPr>
        <w:pStyle w:val="Normal"/>
        <w:spacing w:lineRule="auto" w:line="240" w:before="0" w:after="0"/>
        <w:ind w:left="0" w:hanging="0"/>
        <w:jc w:val="center"/>
        <w:rPr>
          <w:color w:val="ED1C24"/>
        </w:rPr>
      </w:pPr>
      <w:r>
        <w:rPr>
          <w:rFonts w:cs="Arial" w:ascii="Arial" w:hAnsi="Arial"/>
          <w:iCs/>
          <w:color w:val="auto"/>
          <w:sz w:val="20"/>
          <w:szCs w:val="20"/>
        </w:rPr>
        <w:t>JOSÉ ROBERTO MOURA DE SOUZA</w:t>
      </w:r>
    </w:p>
    <w:p>
      <w:pPr>
        <w:pStyle w:val="Normal"/>
        <w:spacing w:lineRule="auto" w:line="240" w:before="0" w:after="0"/>
        <w:ind w:left="0" w:hanging="0"/>
        <w:jc w:val="center"/>
        <w:rPr>
          <w:color w:val="ED1C24"/>
        </w:rPr>
      </w:pPr>
      <w:r>
        <w:rPr>
          <w:rFonts w:cs="Arial" w:ascii="Arial" w:hAnsi="Arial"/>
          <w:iCs/>
          <w:color w:val="auto"/>
          <w:sz w:val="20"/>
          <w:szCs w:val="20"/>
        </w:rPr>
        <w:t>Capitão de Mar e Guerra</w:t>
      </w:r>
    </w:p>
    <w:p>
      <w:pPr>
        <w:pStyle w:val="Normal"/>
        <w:spacing w:lineRule="auto" w:line="240" w:before="0" w:after="0"/>
        <w:ind w:left="0" w:hanging="0"/>
        <w:jc w:val="center"/>
        <w:rPr>
          <w:color w:val="ED1C24"/>
        </w:rPr>
      </w:pPr>
      <w:r>
        <w:rPr>
          <w:rFonts w:cs="Arial" w:ascii="Arial" w:hAnsi="Arial"/>
          <w:iCs/>
          <w:color w:val="auto"/>
          <w:sz w:val="20"/>
          <w:szCs w:val="20"/>
        </w:rPr>
        <w:t>Chefe Geral de Serviços</w:t>
      </w:r>
    </w:p>
    <w:p>
      <w:pPr>
        <w:pStyle w:val="Normal"/>
        <w:spacing w:lineRule="auto" w:line="240" w:before="0" w:after="0"/>
        <w:ind w:left="0" w:hanging="0"/>
        <w:jc w:val="center"/>
        <w:rPr>
          <w:color w:val="ED1C24"/>
        </w:rPr>
      </w:pPr>
      <w:r>
        <w:rPr>
          <w:rFonts w:cs="Arial" w:ascii="Arial" w:hAnsi="Arial"/>
          <w:iCs/>
          <w:color w:val="auto"/>
          <w:sz w:val="20"/>
          <w:szCs w:val="20"/>
        </w:rPr>
        <w:t>Ordenador de Despesas</w:t>
      </w:r>
    </w:p>
    <w:sectPr>
      <w:footerReference w:type="default" r:id="rId6"/>
      <w:type w:val="nextPage"/>
      <w:pgSz w:w="11906" w:h="16838"/>
      <w:pgMar w:left="1701" w:right="1134" w:gutter="0" w:header="0" w:top="1701" w:footer="708"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t>Termo de Referência – Compras – Lei nº 14.133/21 – Contratação Direta</w:t>
    </w:r>
  </w:p>
  <w:p>
    <w:pPr>
      <w:pStyle w:val="Rodap"/>
      <w:rPr>
        <w:sz w:val="12"/>
        <w:szCs w:val="12"/>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b/>
        <w:color w:val="00000A"/>
      </w:rPr>
    </w:lvl>
    <w:lvl w:ilvl="1">
      <w:start w:val="4"/>
      <w:numFmt w:val="decimal"/>
      <w:lvlText w:val="%1.%2."/>
      <w:lvlJc w:val="left"/>
      <w:pPr>
        <w:tabs>
          <w:tab w:val="num" w:pos="0"/>
        </w:tabs>
        <w:ind w:left="432" w:hanging="432"/>
      </w:pPr>
      <w:rPr>
        <w:dstrike w:val="false"/>
        <w:strike w:val="false"/>
        <w:sz w:val="20"/>
        <w:i w:val="false"/>
        <w:u w:val="none"/>
        <w:b/>
        <w:effect w:val="none"/>
        <w:color w:val="00000A"/>
      </w:rPr>
    </w:lvl>
    <w:lvl w:ilvl="2">
      <w:start w:val="1"/>
      <w:numFmt w:val="decimal"/>
      <w:lvlText w:val="%1.%2.%3."/>
      <w:lvlJc w:val="left"/>
      <w:pPr>
        <w:tabs>
          <w:tab w:val="num" w:pos="0"/>
        </w:tabs>
        <w:ind w:left="930" w:hanging="504"/>
      </w:pPr>
      <w:rPr>
        <w:sz w:val="20"/>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rPr/>
    </w:lvl>
    <w:lvl w:ilvl="4">
      <w:start w:val="1"/>
      <w:numFmt w:val="decimal"/>
      <w:lvlText w:val="%1.%2.%3.%4.%5."/>
      <w:lvlJc w:val="left"/>
      <w:pPr>
        <w:tabs>
          <w:tab w:val="num" w:pos="0"/>
        </w:tabs>
        <w:ind w:left="2232" w:hanging="0"/>
      </w:pPr>
      <w:rPr/>
    </w:lvl>
    <w:lvl w:ilvl="5">
      <w:start w:val="1"/>
      <w:numFmt w:val="decimal"/>
      <w:lvlText w:val="%1.%2.%3.%4.%5.%6."/>
      <w:lvlJc w:val="left"/>
      <w:pPr>
        <w:tabs>
          <w:tab w:val="num" w:pos="0"/>
        </w:tabs>
        <w:ind w:left="2736" w:hanging="0"/>
      </w:pPr>
      <w:rPr/>
    </w:lvl>
    <w:lvl w:ilvl="6">
      <w:start w:val="1"/>
      <w:numFmt w:val="decimal"/>
      <w:lvlText w:val="%1.%2.%3.%4.%5.%6.%7."/>
      <w:lvlJc w:val="left"/>
      <w:pPr>
        <w:tabs>
          <w:tab w:val="num" w:pos="0"/>
        </w:tabs>
        <w:ind w:left="3240" w:hanging="0"/>
      </w:pPr>
      <w:rPr/>
    </w:lvl>
    <w:lvl w:ilvl="7">
      <w:start w:val="1"/>
      <w:numFmt w:val="decimal"/>
      <w:lvlText w:val="%1.%2.%3.%4.%5.%6.%7.%8."/>
      <w:lvlJc w:val="left"/>
      <w:pPr>
        <w:tabs>
          <w:tab w:val="num" w:pos="0"/>
        </w:tabs>
        <w:ind w:left="3744" w:hanging="0"/>
      </w:pPr>
      <w:rPr/>
    </w:lvl>
    <w:lvl w:ilvl="8">
      <w:start w:val="1"/>
      <w:numFmt w:val="decimal"/>
      <w:lvlText w:val="%1.%2.%3.%4.%5.%6.%7.%8.%9."/>
      <w:lvlJc w:val="left"/>
      <w:pPr>
        <w:tabs>
          <w:tab w:val="num" w:pos="0"/>
        </w:tabs>
        <w:ind w:left="4320" w:hanging="0"/>
      </w:pPr>
      <w:rPr/>
    </w:lvl>
  </w:abstractNum>
  <w:abstractNum w:abstractNumId="3">
    <w:lvl w:ilvl="0">
      <w:start w:val="5"/>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val="false"/>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rPr/>
    </w:lvl>
    <w:lvl w:ilvl="4">
      <w:start w:val="1"/>
      <w:numFmt w:val="decimal"/>
      <w:lvlText w:val="%1.%2.%3.%4.%5."/>
      <w:lvlJc w:val="left"/>
      <w:pPr>
        <w:tabs>
          <w:tab w:val="num" w:pos="0"/>
        </w:tabs>
        <w:ind w:left="2232" w:hanging="0"/>
      </w:pPr>
      <w:rPr/>
    </w:lvl>
    <w:lvl w:ilvl="5">
      <w:start w:val="1"/>
      <w:numFmt w:val="decimal"/>
      <w:lvlText w:val="%1.%2.%3.%4.%5.%6."/>
      <w:lvlJc w:val="left"/>
      <w:pPr>
        <w:tabs>
          <w:tab w:val="num" w:pos="0"/>
        </w:tabs>
        <w:ind w:left="2736" w:hanging="0"/>
      </w:pPr>
      <w:rPr/>
    </w:lvl>
    <w:lvl w:ilvl="6">
      <w:start w:val="1"/>
      <w:numFmt w:val="decimal"/>
      <w:lvlText w:val="%1.%2.%3.%4.%5.%6.%7."/>
      <w:lvlJc w:val="left"/>
      <w:pPr>
        <w:tabs>
          <w:tab w:val="num" w:pos="0"/>
        </w:tabs>
        <w:ind w:left="3240" w:hanging="0"/>
      </w:pPr>
      <w:rPr/>
    </w:lvl>
    <w:lvl w:ilvl="7">
      <w:start w:val="1"/>
      <w:numFmt w:val="decimal"/>
      <w:lvlText w:val="%1.%2.%3.%4.%5.%6.%7.%8."/>
      <w:lvlJc w:val="left"/>
      <w:pPr>
        <w:tabs>
          <w:tab w:val="num" w:pos="0"/>
        </w:tabs>
        <w:ind w:left="3744" w:hanging="0"/>
      </w:pPr>
      <w:rPr/>
    </w:lvl>
    <w:lvl w:ilvl="8">
      <w:start w:val="1"/>
      <w:numFmt w:val="decimal"/>
      <w:lvlText w:val="%1.%2.%3.%4.%5.%6.%7.%8.%9."/>
      <w:lvlJc w:val="left"/>
      <w:pPr>
        <w:tabs>
          <w:tab w:val="num" w:pos="0"/>
        </w:tabs>
        <w:ind w:left="4320" w:hanging="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customStyle="1">
    <w:name w:val="Hyperlink"/>
    <w:unhideWhenUsed/>
    <w:rsid w:val="00fe71e3"/>
    <w:rPr>
      <w:color w:val="000080"/>
      <w:u w:val="single"/>
    </w:rPr>
  </w:style>
  <w:style w:type="character" w:styleId="CitaoChar" w:customStyle="1">
    <w:name w:val="Citação Char"/>
    <w:basedOn w:val="DefaultParagraphFont"/>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uiPriority w:val="99"/>
    <w:qFormat/>
    <w:rsid w:val="00843661"/>
    <w:rPr>
      <w:sz w:val="20"/>
      <w:szCs w:val="20"/>
    </w:rPr>
  </w:style>
  <w:style w:type="character" w:styleId="AssuntodocomentrioChar" w:customStyle="1">
    <w:name w:val="Assunto do comentário Char"/>
    <w:basedOn w:val="TextodecomentrioChar"/>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character" w:styleId="Nfaseforte">
    <w:name w:val="Strong"/>
    <w:qFormat/>
    <w:rPr>
      <w:b/>
      <w:bCs/>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2"/>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paragraph" w:styleId="Contedodatabela" w:customStyle="1">
    <w:name w:val="Conteúdo da tabela"/>
    <w:basedOn w:val="Normal"/>
    <w:qFormat/>
    <w:pPr>
      <w:suppressLineNumbers/>
    </w:pPr>
    <w:rPr/>
  </w:style>
  <w:style w:type="paragraph" w:styleId="LONormal">
    <w:name w:val="LO-Normal"/>
    <w:qFormat/>
    <w:pPr>
      <w:widowControl/>
      <w:tabs>
        <w:tab w:val="clear" w:pos="708"/>
      </w:tabs>
      <w:suppressAutoHyphens w:val="true"/>
      <w:bidi w:val="0"/>
      <w:spacing w:lineRule="auto" w:line="218" w:before="0" w:after="192"/>
      <w:ind w:left="281" w:right="58" w:firstLine="4"/>
      <w:jc w:val="both"/>
    </w:pPr>
    <w:rPr>
      <w:rFonts w:ascii="Calibri" w:hAnsi="Calibri" w:eastAsia="Calibri" w:cs="Calibri" w:asciiTheme="minorHAnsi" w:eastAsiaTheme="minorHAnsi" w:hAnsiTheme="minorHAnsi"/>
      <w:color w:val="000000"/>
      <w:kern w:val="0"/>
      <w:sz w:val="28"/>
      <w:szCs w:val="22"/>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225</TotalTime>
  <Application>LibreOffice/7.4.4.2$Windows_X86_64 LibreOffice_project/85569322deea74ec9134968a29af2df5663baa21</Application>
  <AppVersion>15.0000</AppVersion>
  <Pages>7</Pages>
  <Words>2534</Words>
  <Characters>14488</Characters>
  <CharactersWithSpaces>16890</CharactersWithSpaces>
  <Paragraphs>124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2023-02-14T09:34:00Z</dcterms:created>
  <dc:creator>Marcela Ali Tarif</dc:creator>
  <dc:description/>
  <dc:language>pt-BR</dc:language>
  <cp:lastModifiedBy/>
  <dcterms:modified xsi:type="dcterms:W3CDTF">2023-07-21T13:52:12Z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